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1C48" w:rsidRPr="00A943A6" w:rsidRDefault="00701C48" w:rsidP="00701C48">
      <w:pPr>
        <w:spacing w:line="0" w:lineRule="atLeast"/>
        <w:jc w:val="right"/>
        <w:rPr>
          <w:sz w:val="23"/>
          <w:szCs w:val="23"/>
        </w:rPr>
      </w:pPr>
      <w:r w:rsidRPr="00A943A6">
        <w:rPr>
          <w:sz w:val="23"/>
          <w:szCs w:val="23"/>
        </w:rPr>
        <w:t xml:space="preserve">Приложение № </w:t>
      </w:r>
      <w:r>
        <w:rPr>
          <w:sz w:val="23"/>
          <w:szCs w:val="23"/>
        </w:rPr>
        <w:t>5</w:t>
      </w:r>
      <w:bookmarkStart w:id="0" w:name="_GoBack"/>
      <w:bookmarkEnd w:id="0"/>
      <w:r w:rsidRPr="00A943A6">
        <w:rPr>
          <w:sz w:val="23"/>
          <w:szCs w:val="23"/>
        </w:rPr>
        <w:t xml:space="preserve"> </w:t>
      </w:r>
    </w:p>
    <w:p w:rsidR="00701C48" w:rsidRDefault="00701C48" w:rsidP="00701C48">
      <w:pPr>
        <w:spacing w:line="0" w:lineRule="atLeast"/>
        <w:jc w:val="right"/>
        <w:rPr>
          <w:sz w:val="23"/>
          <w:szCs w:val="23"/>
        </w:rPr>
      </w:pPr>
      <w:r w:rsidRPr="00A943A6">
        <w:rPr>
          <w:sz w:val="23"/>
          <w:szCs w:val="23"/>
        </w:rPr>
        <w:t>к Т</w:t>
      </w:r>
      <w:r>
        <w:rPr>
          <w:sz w:val="23"/>
          <w:szCs w:val="23"/>
        </w:rPr>
        <w:t>ехническим требованиям</w:t>
      </w:r>
    </w:p>
    <w:p w:rsidR="0074213D" w:rsidRDefault="0074213D">
      <w:pPr>
        <w:tabs>
          <w:tab w:val="left" w:pos="720"/>
        </w:tabs>
        <w:ind w:firstLine="500"/>
        <w:jc w:val="right"/>
        <w:rPr>
          <w:b/>
          <w:i/>
          <w:szCs w:val="26"/>
        </w:rPr>
      </w:pPr>
    </w:p>
    <w:p w:rsidR="0074213D" w:rsidRDefault="0074213D">
      <w:pPr>
        <w:spacing w:before="14"/>
        <w:ind w:left="1" w:right="163" w:hanging="1"/>
        <w:jc w:val="center"/>
        <w:rPr>
          <w:b/>
          <w:sz w:val="30"/>
          <w:szCs w:val="30"/>
        </w:rPr>
      </w:pPr>
    </w:p>
    <w:p w:rsidR="0074213D" w:rsidRPr="009B115A" w:rsidRDefault="00746EDF">
      <w:pPr>
        <w:spacing w:before="14"/>
        <w:ind w:left="1" w:right="163" w:hanging="1"/>
        <w:jc w:val="center"/>
        <w:rPr>
          <w:b/>
          <w:sz w:val="28"/>
          <w:szCs w:val="28"/>
        </w:rPr>
      </w:pPr>
      <w:r w:rsidRPr="009B115A">
        <w:rPr>
          <w:b/>
          <w:sz w:val="28"/>
          <w:szCs w:val="28"/>
        </w:rPr>
        <w:t>ТЕХНИЧЕСКОЕ ЗАДАНИЕ</w:t>
      </w:r>
    </w:p>
    <w:p w:rsidR="0074213D" w:rsidRDefault="00746EDF">
      <w:pPr>
        <w:widowControl w:val="0"/>
        <w:tabs>
          <w:tab w:val="left" w:pos="720"/>
        </w:tabs>
        <w:spacing w:before="0"/>
        <w:contextualSpacing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выполнение работ по титулу </w:t>
      </w:r>
    </w:p>
    <w:p w:rsidR="0074213D" w:rsidRDefault="00746EDF">
      <w:pPr>
        <w:widowControl w:val="0"/>
        <w:tabs>
          <w:tab w:val="left" w:pos="720"/>
        </w:tabs>
        <w:spacing w:before="0"/>
        <w:contextualSpacing/>
        <w:jc w:val="center"/>
        <w:rPr>
          <w:b/>
          <w:szCs w:val="26"/>
        </w:rPr>
      </w:pPr>
      <w:r>
        <w:rPr>
          <w:rFonts w:eastAsia="Calibri"/>
          <w:lang w:eastAsia="en-US"/>
        </w:rPr>
        <w:t>«Разработка проектной и рабочей документации на техническое перевооружение микропроцессорного комплекса МКПА 2 (АРОЛ) F-26, системы ОМП типа ТОР-300 ЛОК Зарамагской ГЭС-1»</w:t>
      </w:r>
      <w:r>
        <w:rPr>
          <w:b/>
          <w:szCs w:val="26"/>
        </w:rPr>
        <w:t xml:space="preserve"> </w:t>
      </w:r>
    </w:p>
    <w:p w:rsidR="0074213D" w:rsidRDefault="0074213D">
      <w:pPr>
        <w:widowControl w:val="0"/>
        <w:tabs>
          <w:tab w:val="left" w:pos="720"/>
        </w:tabs>
        <w:spacing w:before="0"/>
        <w:contextualSpacing/>
        <w:jc w:val="center"/>
        <w:rPr>
          <w:b/>
          <w:szCs w:val="26"/>
        </w:rPr>
      </w:pPr>
    </w:p>
    <w:p w:rsidR="0074213D" w:rsidRDefault="00746EDF">
      <w:pPr>
        <w:pStyle w:val="aff3"/>
        <w:widowControl w:val="0"/>
        <w:numPr>
          <w:ilvl w:val="0"/>
          <w:numId w:val="4"/>
        </w:numPr>
        <w:tabs>
          <w:tab w:val="left" w:pos="720"/>
        </w:tabs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Основание для проектирования:</w:t>
      </w:r>
    </w:p>
    <w:p w:rsidR="0074213D" w:rsidRDefault="00746EDF">
      <w:pPr>
        <w:widowControl w:val="0"/>
        <w:numPr>
          <w:ilvl w:val="1"/>
          <w:numId w:val="13"/>
        </w:numPr>
        <w:tabs>
          <w:tab w:val="left" w:pos="0"/>
          <w:tab w:val="left" w:pos="900"/>
          <w:tab w:val="left" w:pos="1260"/>
        </w:tabs>
        <w:spacing w:before="0"/>
        <w:ind w:left="0" w:firstLine="709"/>
        <w:rPr>
          <w:szCs w:val="26"/>
        </w:rPr>
      </w:pPr>
      <w:r>
        <w:rPr>
          <w:szCs w:val="26"/>
        </w:rPr>
        <w:t>Внестадийная документация «Выполнение работ по разработке схемы выдачи мощности Зарамагской ГЭС-1».</w:t>
      </w:r>
    </w:p>
    <w:p w:rsidR="0074213D" w:rsidRDefault="00746EDF">
      <w:pPr>
        <w:widowControl w:val="0"/>
        <w:numPr>
          <w:ilvl w:val="1"/>
          <w:numId w:val="14"/>
        </w:numPr>
        <w:tabs>
          <w:tab w:val="left" w:pos="0"/>
          <w:tab w:val="left" w:pos="900"/>
          <w:tab w:val="left" w:pos="1260"/>
        </w:tabs>
        <w:spacing w:before="0"/>
        <w:ind w:left="0" w:firstLine="709"/>
        <w:rPr>
          <w:szCs w:val="26"/>
        </w:rPr>
      </w:pPr>
      <w:r>
        <w:rPr>
          <w:szCs w:val="26"/>
        </w:rPr>
        <w:t xml:space="preserve">Технические условия для технологического присоединения к электрическим сетям ПАО «Россети» объектов по производству электрической энергии </w:t>
      </w:r>
      <w:r>
        <w:rPr>
          <w:szCs w:val="26"/>
        </w:rPr>
        <w:br/>
        <w:t xml:space="preserve">Зарамагской ГЭС-1, утвержденные 06.05.2024; </w:t>
      </w:r>
    </w:p>
    <w:p w:rsidR="0074213D" w:rsidRDefault="00746EDF">
      <w:pPr>
        <w:widowControl w:val="0"/>
        <w:numPr>
          <w:ilvl w:val="1"/>
          <w:numId w:val="15"/>
        </w:numPr>
        <w:tabs>
          <w:tab w:val="left" w:pos="0"/>
          <w:tab w:val="left" w:pos="900"/>
          <w:tab w:val="left" w:pos="1260"/>
        </w:tabs>
        <w:spacing w:before="0"/>
        <w:ind w:left="0" w:firstLine="709"/>
        <w:rPr>
          <w:szCs w:val="26"/>
        </w:rPr>
      </w:pPr>
      <w:r>
        <w:rPr>
          <w:szCs w:val="26"/>
        </w:rPr>
        <w:t>Изменения №1 в технические условия для технологического присоединения к электрическим сетям ПАО «Россети» объектов по производству электрической энергии Зарамагской ГЭС-1, утвержденные 13.10.2025.</w:t>
      </w:r>
    </w:p>
    <w:p w:rsidR="0074213D" w:rsidRDefault="0074213D">
      <w:pPr>
        <w:widowControl w:val="0"/>
        <w:tabs>
          <w:tab w:val="left" w:pos="0"/>
          <w:tab w:val="left" w:pos="900"/>
          <w:tab w:val="left" w:pos="1260"/>
        </w:tabs>
        <w:spacing w:before="0"/>
        <w:ind w:left="709"/>
        <w:rPr>
          <w:szCs w:val="26"/>
        </w:rPr>
      </w:pPr>
    </w:p>
    <w:p w:rsidR="0074213D" w:rsidRDefault="0074213D">
      <w:pPr>
        <w:widowControl w:val="0"/>
        <w:tabs>
          <w:tab w:val="left" w:pos="720"/>
        </w:tabs>
        <w:spacing w:before="0"/>
        <w:ind w:firstLine="720"/>
        <w:contextualSpacing/>
        <w:rPr>
          <w:i/>
          <w:iCs/>
          <w:szCs w:val="26"/>
        </w:rPr>
      </w:pPr>
    </w:p>
    <w:p w:rsidR="0074213D" w:rsidRDefault="00746EDF">
      <w:pPr>
        <w:widowControl w:val="0"/>
        <w:tabs>
          <w:tab w:val="left" w:pos="0"/>
          <w:tab w:val="left" w:pos="720"/>
        </w:tabs>
        <w:spacing w:before="0"/>
        <w:ind w:firstLine="720"/>
        <w:contextualSpacing/>
        <w:rPr>
          <w:b/>
          <w:szCs w:val="26"/>
        </w:rPr>
      </w:pPr>
      <w:r>
        <w:rPr>
          <w:b/>
          <w:szCs w:val="26"/>
        </w:rPr>
        <w:t>2. Основные нормативно-технические документы (НТД), определяющие требования к проектной документации:</w:t>
      </w:r>
    </w:p>
    <w:p w:rsidR="0074213D" w:rsidRDefault="0074213D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zCs w:val="26"/>
        </w:rPr>
      </w:pPr>
    </w:p>
    <w:p w:rsidR="0074213D" w:rsidRDefault="00746EDF">
      <w:pPr>
        <w:tabs>
          <w:tab w:val="right" w:pos="9072"/>
          <w:tab w:val="right" w:pos="9498"/>
        </w:tabs>
        <w:ind w:firstLine="709"/>
        <w:rPr>
          <w:szCs w:val="26"/>
        </w:rPr>
      </w:pPr>
      <w:r>
        <w:rPr>
          <w:szCs w:val="26"/>
        </w:rPr>
        <w:t xml:space="preserve">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перечне: </w:t>
      </w:r>
    </w:p>
    <w:p w:rsidR="0074213D" w:rsidRDefault="00746EDF">
      <w:pPr>
        <w:tabs>
          <w:tab w:val="right" w:pos="9498"/>
        </w:tabs>
        <w:ind w:firstLine="709"/>
        <w:rPr>
          <w:szCs w:val="26"/>
        </w:rPr>
      </w:pPr>
      <w:r>
        <w:rPr>
          <w:szCs w:val="26"/>
        </w:rPr>
        <w:t>– Требованиями к каналам связи для функционирования релейной защиты и автоматики, утвержденными приказом Министерства энергетики Российской Федерации от 13.02.2019 № 97;</w:t>
      </w:r>
    </w:p>
    <w:p w:rsidR="0074213D" w:rsidRDefault="00746EDF">
      <w:pPr>
        <w:tabs>
          <w:tab w:val="right" w:pos="9498"/>
        </w:tabs>
        <w:ind w:firstLine="709"/>
        <w:rPr>
          <w:szCs w:val="26"/>
        </w:rPr>
      </w:pPr>
      <w:r>
        <w:rPr>
          <w:szCs w:val="26"/>
        </w:rPr>
        <w:t>– Требованиями к оснащению линий электропередачи и оборудования объектов электроэнергетики классом напряжения 110 кВ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автоматики, утвержденными приказом Министерства энергетики Российской Федерации от 13.02.2019 № 101;</w:t>
      </w:r>
    </w:p>
    <w:p w:rsidR="0074213D" w:rsidRDefault="00746EDF">
      <w:pPr>
        <w:tabs>
          <w:tab w:val="right" w:pos="9498"/>
        </w:tabs>
        <w:ind w:firstLine="709"/>
        <w:rPr>
          <w:szCs w:val="26"/>
        </w:rPr>
      </w:pPr>
      <w:r>
        <w:rPr>
          <w:szCs w:val="26"/>
        </w:rPr>
        <w:t>– Требованиями к релейной защите и автоматике различных видов и ее функционированию в составе энергосистемы, утвержденными приказом Министерства энергетики Российской Федерации от 10.07.2020 № 546.</w:t>
      </w:r>
    </w:p>
    <w:p w:rsidR="0074213D" w:rsidRDefault="00746EDF">
      <w:pPr>
        <w:tabs>
          <w:tab w:val="right" w:pos="9498"/>
        </w:tabs>
        <w:ind w:firstLine="709"/>
        <w:rPr>
          <w:szCs w:val="26"/>
        </w:rPr>
      </w:pPr>
      <w:r>
        <w:rPr>
          <w:szCs w:val="26"/>
        </w:rPr>
        <w:t xml:space="preserve">– Правилами создания (модернизации) комплексов и устройств релейной защиты и автоматики в энергосистеме, утвержденными приказом Министерства энергетики Российской Федерации от 13.07.2020 № 556. </w:t>
      </w:r>
    </w:p>
    <w:p w:rsidR="0074213D" w:rsidRDefault="00746EDF">
      <w:pPr>
        <w:tabs>
          <w:tab w:val="right" w:pos="9498"/>
        </w:tabs>
        <w:ind w:firstLine="709"/>
        <w:rPr>
          <w:szCs w:val="26"/>
        </w:rPr>
      </w:pPr>
      <w:r>
        <w:rPr>
          <w:szCs w:val="26"/>
        </w:rPr>
        <w:t>– Технической политикой Группы РусГидро.</w:t>
      </w:r>
    </w:p>
    <w:p w:rsidR="0074213D" w:rsidRDefault="00746EDF">
      <w:pPr>
        <w:tabs>
          <w:tab w:val="right" w:pos="9498"/>
        </w:tabs>
        <w:ind w:firstLine="709"/>
        <w:rPr>
          <w:szCs w:val="26"/>
        </w:rPr>
      </w:pPr>
      <w:r>
        <w:rPr>
          <w:szCs w:val="26"/>
        </w:rPr>
        <w:t xml:space="preserve">– </w:t>
      </w:r>
      <w:r>
        <w:rPr>
          <w:rFonts w:eastAsia="Calibri"/>
          <w:lang w:eastAsia="en-US"/>
        </w:rPr>
        <w:t>Методическими указаниями по технологическому проектированию подстанций переменного тока с высшим напряжением 35 - 750 кВ. (ПРИКАЗ Минэнерго России от 15 января 2024 г. N 6)</w:t>
      </w:r>
    </w:p>
    <w:p w:rsidR="0074213D" w:rsidRDefault="0074213D">
      <w:pPr>
        <w:widowControl w:val="0"/>
        <w:spacing w:before="0"/>
        <w:ind w:firstLine="720"/>
        <w:contextualSpacing/>
        <w:rPr>
          <w:szCs w:val="26"/>
        </w:rPr>
      </w:pPr>
    </w:p>
    <w:p w:rsidR="0074213D" w:rsidRDefault="00746EDF">
      <w:pPr>
        <w:widowControl w:val="0"/>
        <w:spacing w:before="0"/>
        <w:ind w:firstLine="720"/>
        <w:contextualSpacing/>
        <w:rPr>
          <w:b/>
          <w:szCs w:val="26"/>
        </w:rPr>
      </w:pPr>
      <w:r>
        <w:rPr>
          <w:b/>
          <w:szCs w:val="26"/>
        </w:rPr>
        <w:lastRenderedPageBreak/>
        <w:t>3. Основные характеристики проектируемого объекта:</w:t>
      </w:r>
    </w:p>
    <w:p w:rsidR="0074213D" w:rsidRDefault="00746EDF">
      <w:pPr>
        <w:pStyle w:val="aff3"/>
        <w:widowControl w:val="0"/>
        <w:spacing w:after="0" w:line="240" w:lineRule="auto"/>
        <w:ind w:left="1429" w:hanging="720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На Зарамагской ГЭС-1:</w:t>
      </w:r>
    </w:p>
    <w:tbl>
      <w:tblPr>
        <w:tblW w:w="5000" w:type="pct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279"/>
        <w:gridCol w:w="5916"/>
      </w:tblGrid>
      <w:tr w:rsidR="0074213D">
        <w:trPr>
          <w:trHeight w:val="254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pStyle w:val="TableParagraph"/>
              <w:spacing w:line="234" w:lineRule="exact"/>
              <w:ind w:left="465" w:right="5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Оборудование (объект)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pStyle w:val="TableParagraph"/>
              <w:spacing w:line="234" w:lineRule="exact"/>
              <w:ind w:right="5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Характеристика оборудования и выполняемых работ</w:t>
            </w:r>
          </w:p>
        </w:tc>
      </w:tr>
      <w:tr w:rsidR="0074213D">
        <w:trPr>
          <w:trHeight w:val="251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pStyle w:val="TableParagraph"/>
              <w:spacing w:line="232" w:lineRule="exact"/>
              <w:ind w:left="107" w:right="52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Система собственных нужд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pStyle w:val="TableParagraph"/>
              <w:spacing w:line="232" w:lineRule="exact"/>
              <w:ind w:left="107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Необходимость модернизации (расширения) определяется при проектировании</w:t>
            </w:r>
          </w:p>
        </w:tc>
      </w:tr>
      <w:tr w:rsidR="0074213D">
        <w:trPr>
          <w:trHeight w:val="507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pStyle w:val="TableParagraph"/>
              <w:ind w:left="107" w:right="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Вторичное ЭТО, в том числе системы (или отдельные устройства) ОПТ, РЗА, АСУ ТП (ССПИ, ТМ), связи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pStyle w:val="TableParagraph"/>
              <w:numPr>
                <w:ilvl w:val="0"/>
                <w:numId w:val="5"/>
              </w:numPr>
              <w:spacing w:before="5" w:line="252" w:lineRule="exact"/>
              <w:ind w:right="52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Противоаварийная автоматика</w:t>
            </w:r>
          </w:p>
          <w:p w:rsidR="0074213D" w:rsidRDefault="00746EDF">
            <w:pPr>
              <w:pStyle w:val="TableParagraph"/>
              <w:numPr>
                <w:ilvl w:val="1"/>
                <w:numId w:val="5"/>
              </w:numPr>
              <w:spacing w:before="5" w:line="252" w:lineRule="exact"/>
              <w:ind w:left="111" w:right="52" w:hanging="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Выполнить замену существующего комплекса АРОЛ, реализующего АРО СГО (автоматика разгрузки при отключении ЛЭП, сетевого и генерирующего оборудования).</w:t>
            </w:r>
          </w:p>
          <w:p w:rsidR="0074213D" w:rsidRDefault="00746EDF">
            <w:pPr>
              <w:pStyle w:val="TableParagraph"/>
              <w:numPr>
                <w:ilvl w:val="1"/>
                <w:numId w:val="5"/>
              </w:numPr>
              <w:spacing w:before="5" w:line="252" w:lineRule="exact"/>
              <w:ind w:left="111" w:right="52" w:hanging="4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>Параметры устанавливаемых устройств ПА должны иметь техническую возможность осуществления функций дистанционного управления из ДЦ Филиала АО «СО ЕЭС» Северокавказское РДУ (далее – Северокавказское РДУ).</w:t>
            </w:r>
          </w:p>
          <w:p w:rsidR="0074213D" w:rsidRDefault="00746EDF">
            <w:pPr>
              <w:pStyle w:val="TableParagraph"/>
              <w:spacing w:before="5" w:line="252" w:lineRule="exact"/>
              <w:ind w:left="107" w:right="52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2. Система оперативного постоянного тока (СОПТ).</w:t>
            </w:r>
          </w:p>
          <w:p w:rsidR="0074213D" w:rsidRDefault="00746EDF">
            <w:pPr>
              <w:pStyle w:val="TableParagraph"/>
              <w:spacing w:before="5" w:line="252" w:lineRule="exact"/>
              <w:ind w:left="107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2.1. Необходимость модернизации (расширения) определяется при проектировании.</w:t>
            </w:r>
          </w:p>
          <w:p w:rsidR="0074213D" w:rsidRDefault="0074213D">
            <w:pPr>
              <w:pStyle w:val="TableParagraph"/>
              <w:spacing w:before="5" w:line="252" w:lineRule="exact"/>
              <w:ind w:left="107" w:right="52"/>
              <w:jc w:val="both"/>
              <w:rPr>
                <w:sz w:val="26"/>
                <w:szCs w:val="26"/>
              </w:rPr>
            </w:pPr>
          </w:p>
          <w:p w:rsidR="0074213D" w:rsidRDefault="00746EDF">
            <w:pPr>
              <w:pStyle w:val="TableParagraph"/>
              <w:spacing w:before="5" w:line="252" w:lineRule="exact"/>
              <w:ind w:left="107" w:right="52"/>
              <w:jc w:val="both"/>
            </w:pPr>
            <w:r>
              <w:rPr>
                <w:sz w:val="26"/>
                <w:szCs w:val="26"/>
                <w:u w:val="single"/>
              </w:rPr>
              <w:t>3. Система сбора</w:t>
            </w:r>
            <w:r>
              <w:rPr>
                <w:sz w:val="26"/>
                <w:szCs w:val="26"/>
                <w:u w:val="single"/>
              </w:rPr>
              <w:tab/>
              <w:t xml:space="preserve">и </w:t>
            </w:r>
            <w:r>
              <w:rPr>
                <w:spacing w:val="-3"/>
                <w:sz w:val="26"/>
                <w:szCs w:val="26"/>
                <w:u w:val="single"/>
              </w:rPr>
              <w:t xml:space="preserve">передачи </w:t>
            </w:r>
            <w:r>
              <w:rPr>
                <w:sz w:val="26"/>
                <w:szCs w:val="26"/>
                <w:u w:val="single"/>
              </w:rPr>
              <w:t>технологической информации</w:t>
            </w:r>
            <w:r>
              <w:rPr>
                <w:spacing w:val="-3"/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(ССПИ).</w:t>
            </w:r>
          </w:p>
          <w:p w:rsidR="0074213D" w:rsidRDefault="00746EDF">
            <w:pPr>
              <w:pStyle w:val="TableParagraph"/>
              <w:spacing w:before="5" w:line="252" w:lineRule="exact"/>
              <w:ind w:left="107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3.1. Разработать решения по интеграции вновь устанавливаемых устройств ОМП и АРО СГО в существующую систему АСУ ТП (ССПИ) с передачей необходимой информации совместно с существующей телеинформацией в Северокавказское РДУ.</w:t>
            </w:r>
          </w:p>
          <w:p w:rsidR="0074213D" w:rsidRDefault="0074213D">
            <w:pPr>
              <w:pStyle w:val="TableParagraph"/>
              <w:spacing w:before="5" w:line="252" w:lineRule="exact"/>
              <w:ind w:left="107" w:right="52"/>
              <w:jc w:val="both"/>
              <w:rPr>
                <w:sz w:val="26"/>
                <w:szCs w:val="26"/>
              </w:rPr>
            </w:pPr>
          </w:p>
          <w:p w:rsidR="0074213D" w:rsidRDefault="00746EDF">
            <w:pPr>
              <w:pStyle w:val="TableParagraph"/>
              <w:spacing w:before="5" w:line="252" w:lineRule="exact"/>
              <w:ind w:left="107" w:right="52"/>
              <w:jc w:val="both"/>
            </w:pPr>
            <w:r>
              <w:rPr>
                <w:sz w:val="26"/>
                <w:szCs w:val="26"/>
                <w:u w:val="single"/>
              </w:rPr>
              <w:t>4. Система</w:t>
            </w:r>
            <w:r>
              <w:rPr>
                <w:sz w:val="26"/>
                <w:szCs w:val="26"/>
                <w:u w:val="single"/>
              </w:rPr>
              <w:tab/>
              <w:t>связи.</w:t>
            </w:r>
          </w:p>
          <w:p w:rsidR="0074213D" w:rsidRDefault="00746EDF">
            <w:pPr>
              <w:pStyle w:val="TableParagraph"/>
              <w:spacing w:before="5" w:line="252" w:lineRule="exact"/>
              <w:ind w:left="107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4.1. Разработать решения по организации каналов связи для устанавливаемых устройств ОМП.</w:t>
            </w:r>
          </w:p>
          <w:p w:rsidR="0074213D" w:rsidRDefault="00746EDF" w:rsidP="002427BD">
            <w:pPr>
              <w:pStyle w:val="TableParagraph"/>
              <w:spacing w:before="5" w:line="252" w:lineRule="exact"/>
              <w:ind w:left="107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4.2. </w:t>
            </w:r>
            <w:r w:rsidR="002427BD" w:rsidRPr="002427BD">
              <w:rPr>
                <w:sz w:val="26"/>
                <w:szCs w:val="26"/>
              </w:rPr>
              <w:t>Координация проектных</w:t>
            </w:r>
            <w:r>
              <w:rPr>
                <w:sz w:val="26"/>
                <w:szCs w:val="26"/>
              </w:rPr>
              <w:t xml:space="preserve"> решени</w:t>
            </w:r>
            <w:r w:rsidR="002427BD" w:rsidRPr="002427BD">
              <w:rPr>
                <w:sz w:val="26"/>
                <w:szCs w:val="26"/>
              </w:rPr>
              <w:t>й</w:t>
            </w:r>
            <w:r>
              <w:rPr>
                <w:sz w:val="26"/>
                <w:szCs w:val="26"/>
              </w:rPr>
              <w:t xml:space="preserve"> по организации каналов связи для передачи аварийной и доаварийной информации в АРО СГО Зарамагской ГЭС-1 с ПС 330 кВ Нальчик, ПС 330 кВ Баксан, </w:t>
            </w:r>
            <w:r>
              <w:rPr>
                <w:sz w:val="26"/>
                <w:szCs w:val="26"/>
              </w:rPr>
              <w:br/>
              <w:t>ПС 330 кВ Владикавказ-2, ПС 500 кВ Алания и ПС 330 кВ Артем</w:t>
            </w:r>
            <w:r w:rsidR="002427BD" w:rsidRPr="002427BD">
              <w:rPr>
                <w:sz w:val="26"/>
                <w:szCs w:val="26"/>
              </w:rPr>
              <w:t xml:space="preserve"> в границах Зарамагской ГЭС-1</w:t>
            </w:r>
            <w:r>
              <w:rPr>
                <w:sz w:val="26"/>
                <w:szCs w:val="26"/>
              </w:rPr>
              <w:t xml:space="preserve">, с учетом решений по смежному инвестиционному проекту, указанному в пункте 9.1. </w:t>
            </w:r>
          </w:p>
        </w:tc>
      </w:tr>
      <w:tr w:rsidR="0074213D">
        <w:trPr>
          <w:trHeight w:val="507"/>
        </w:trPr>
        <w:tc>
          <w:tcPr>
            <w:tcW w:w="4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pStyle w:val="TableParagraph"/>
              <w:ind w:left="107" w:right="5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Регистрация аварийных событий и процессов (РАС, СМПР, ОМП)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pStyle w:val="TableParagraph"/>
              <w:spacing w:before="5" w:line="252" w:lineRule="exact"/>
              <w:ind w:left="107" w:right="52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1. Определение места повреждения (ОМП).</w:t>
            </w:r>
          </w:p>
          <w:p w:rsidR="0074213D" w:rsidRDefault="00746EDF">
            <w:pPr>
              <w:pStyle w:val="TableParagraph"/>
              <w:tabs>
                <w:tab w:val="left" w:pos="474"/>
              </w:tabs>
              <w:spacing w:line="248" w:lineRule="exact"/>
              <w:ind w:left="107" w:right="5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 Оснащение ВЛ 330 кВ Зарамагская ГЭС-1 – Владикавказ-2 и ВЛ 330 кВ Зарамагская ГЭС-1 – Нальчик устройствами ОМП, функционирующими на основе волнового метода.</w:t>
            </w:r>
          </w:p>
          <w:p w:rsidR="0074213D" w:rsidRDefault="0074213D">
            <w:pPr>
              <w:pStyle w:val="TableParagraph"/>
              <w:tabs>
                <w:tab w:val="left" w:pos="474"/>
              </w:tabs>
              <w:spacing w:line="248" w:lineRule="exact"/>
              <w:ind w:left="107" w:right="52"/>
              <w:jc w:val="both"/>
              <w:rPr>
                <w:sz w:val="26"/>
                <w:szCs w:val="26"/>
              </w:rPr>
            </w:pPr>
          </w:p>
          <w:p w:rsidR="0074213D" w:rsidRDefault="00746EDF">
            <w:pPr>
              <w:pStyle w:val="TableParagraph"/>
              <w:spacing w:before="5" w:line="252" w:lineRule="exact"/>
              <w:ind w:left="112" w:right="52"/>
              <w:jc w:val="both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</w:rPr>
              <w:t xml:space="preserve">1.2. Обеспечить совместимость с устройствами ОМП, устанавливаемыми на </w:t>
            </w:r>
            <w:r>
              <w:rPr>
                <w:sz w:val="26"/>
                <w:szCs w:val="26"/>
              </w:rPr>
              <w:br/>
              <w:t>ПС 330 кВ Владикавказ-2 и ПС 330 кВ Нальчик в соответствии с решениями по смежному инвестиционному проекту, указанному в пункте 9.1.</w:t>
            </w:r>
          </w:p>
        </w:tc>
      </w:tr>
    </w:tbl>
    <w:p w:rsidR="0074213D" w:rsidRDefault="0074213D">
      <w:pPr>
        <w:pStyle w:val="aff3"/>
        <w:widowControl w:val="0"/>
        <w:spacing w:after="0" w:line="240" w:lineRule="auto"/>
        <w:ind w:left="1429"/>
        <w:rPr>
          <w:rFonts w:ascii="Times New Roman" w:hAnsi="Times New Roman"/>
          <w:szCs w:val="26"/>
        </w:rPr>
      </w:pPr>
    </w:p>
    <w:p w:rsidR="0074213D" w:rsidRDefault="00746EDF">
      <w:pPr>
        <w:widowControl w:val="0"/>
        <w:tabs>
          <w:tab w:val="left" w:pos="1080"/>
        </w:tabs>
        <w:spacing w:before="0"/>
        <w:ind w:left="720"/>
        <w:contextualSpacing/>
        <w:rPr>
          <w:b/>
          <w:szCs w:val="26"/>
        </w:rPr>
      </w:pPr>
      <w:r>
        <w:rPr>
          <w:b/>
          <w:szCs w:val="26"/>
        </w:rPr>
        <w:t>4. Состав работ:</w:t>
      </w:r>
    </w:p>
    <w:p w:rsidR="0074213D" w:rsidRDefault="00746EDF">
      <w:pPr>
        <w:widowControl w:val="0"/>
        <w:tabs>
          <w:tab w:val="left" w:pos="1080"/>
        </w:tabs>
        <w:spacing w:before="0"/>
        <w:ind w:left="720"/>
        <w:contextualSpacing/>
        <w:rPr>
          <w:b/>
          <w:szCs w:val="26"/>
        </w:rPr>
      </w:pPr>
      <w:r>
        <w:rPr>
          <w:b/>
          <w:szCs w:val="26"/>
        </w:rPr>
        <w:t>4.1. Предпроектное обследование</w:t>
      </w:r>
    </w:p>
    <w:p w:rsidR="0074213D" w:rsidRDefault="00746EDF">
      <w:pPr>
        <w:widowControl w:val="0"/>
        <w:tabs>
          <w:tab w:val="left" w:pos="-4680"/>
          <w:tab w:val="left" w:pos="1080"/>
        </w:tabs>
        <w:spacing w:before="0"/>
        <w:ind w:left="709"/>
        <w:rPr>
          <w:szCs w:val="26"/>
        </w:rPr>
      </w:pPr>
      <w:r>
        <w:rPr>
          <w:szCs w:val="26"/>
        </w:rPr>
        <w:lastRenderedPageBreak/>
        <w:t>4.1.1 При предпроектном обследовании оборудования систем СН и вторичного ЭТО для объекта модернизации определить:</w:t>
      </w:r>
    </w:p>
    <w:p w:rsidR="0074213D" w:rsidRDefault="00746EDF">
      <w:pPr>
        <w:pStyle w:val="aff3"/>
        <w:widowControl w:val="0"/>
        <w:numPr>
          <w:ilvl w:val="0"/>
          <w:numId w:val="1"/>
        </w:numPr>
        <w:spacing w:after="0" w:line="240" w:lineRule="auto"/>
        <w:ind w:left="0" w:right="52" w:firstLine="709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состав и существующую схему размещения устройств (систем) СН, вторичного ЭТО, в том числе состав, размещение, срок эксплуатации и техническое состояние существующих устройств РЗА, наличие резервных мест для установки нового оборудования;</w:t>
      </w:r>
    </w:p>
    <w:p w:rsidR="0074213D" w:rsidRDefault="00746EDF">
      <w:pPr>
        <w:pStyle w:val="aff3"/>
        <w:widowControl w:val="0"/>
        <w:numPr>
          <w:ilvl w:val="0"/>
          <w:numId w:val="1"/>
        </w:numPr>
        <w:spacing w:after="0" w:line="299" w:lineRule="exact"/>
        <w:ind w:left="0" w:right="52" w:firstLine="709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виды, объемы и места реализации управляющих воздействий (отключение нагрузки, оборудования и т.п.) от устройств и комплексов РЗА;</w:t>
      </w:r>
    </w:p>
    <w:p w:rsidR="0074213D" w:rsidRDefault="00746EDF">
      <w:pPr>
        <w:pStyle w:val="aff3"/>
        <w:widowControl w:val="0"/>
        <w:numPr>
          <w:ilvl w:val="0"/>
          <w:numId w:val="1"/>
        </w:numPr>
        <w:spacing w:after="0" w:line="240" w:lineRule="auto"/>
        <w:ind w:left="0" w:right="52" w:firstLine="709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схему и состав существующей сети связи, включая резервные каналы связи, для систем диспетчерского и технологического управления (СДТУ) на объекте модернизации и в прилегающей сети с отражением используемых каналов связи (ВОЛС, ВЧ, другое) для передачи сигналов и команд РЗ и ПА, передачи в ДЦ АО «СО ЕЭС» информации систем РАСП, телеинформации и организации телефонной связи для оперативных переговоров;</w:t>
      </w:r>
    </w:p>
    <w:p w:rsidR="0074213D" w:rsidRDefault="00746EDF">
      <w:pPr>
        <w:pStyle w:val="aff3"/>
        <w:widowControl w:val="0"/>
        <w:numPr>
          <w:ilvl w:val="0"/>
          <w:numId w:val="1"/>
        </w:numPr>
        <w:spacing w:after="0" w:line="240" w:lineRule="auto"/>
        <w:ind w:left="0" w:right="52" w:firstLine="709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наличие токовых кернов ТТ 330 кВ для релейной защиты, а также длину и сечение токовых цепей, к которым необходимо выполнить подключение вновь установленных устройств ОМП;</w:t>
      </w:r>
    </w:p>
    <w:p w:rsidR="0074213D" w:rsidRDefault="00746EDF">
      <w:pPr>
        <w:pStyle w:val="aff3"/>
        <w:widowControl w:val="0"/>
        <w:numPr>
          <w:ilvl w:val="0"/>
          <w:numId w:val="1"/>
        </w:numPr>
        <w:spacing w:after="0" w:line="240" w:lineRule="auto"/>
        <w:ind w:left="0" w:right="52" w:firstLine="709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существующие АСУ ТП (ССПИ, ТМ) на предмет достаточности и необходимости их модернизации;</w:t>
      </w:r>
    </w:p>
    <w:p w:rsidR="0074213D" w:rsidRDefault="00746EDF">
      <w:pPr>
        <w:pStyle w:val="aff3"/>
        <w:widowControl w:val="0"/>
        <w:numPr>
          <w:ilvl w:val="0"/>
          <w:numId w:val="1"/>
        </w:numPr>
        <w:spacing w:after="0" w:line="240" w:lineRule="auto"/>
        <w:ind w:left="0" w:right="52" w:firstLine="709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состояния кабельных систем для кабелей питания и для кабелей вторичной коммутации.</w:t>
      </w:r>
    </w:p>
    <w:p w:rsidR="0074213D" w:rsidRDefault="00746EDF">
      <w:pPr>
        <w:widowControl w:val="0"/>
        <w:tabs>
          <w:tab w:val="left" w:pos="-4680"/>
          <w:tab w:val="left" w:pos="1080"/>
        </w:tabs>
        <w:spacing w:before="0"/>
        <w:ind w:left="709"/>
        <w:rPr>
          <w:szCs w:val="26"/>
        </w:rPr>
      </w:pPr>
      <w:r>
        <w:rPr>
          <w:szCs w:val="26"/>
        </w:rPr>
        <w:t xml:space="preserve">4.1.2 </w:t>
      </w:r>
      <w:r>
        <w:rPr>
          <w:iCs/>
          <w:szCs w:val="26"/>
        </w:rPr>
        <w:t xml:space="preserve">Результаты предпроектного обследования согласовать с </w:t>
      </w:r>
      <w:r>
        <w:rPr>
          <w:szCs w:val="26"/>
        </w:rPr>
        <w:t>Заказчиком.</w:t>
      </w:r>
    </w:p>
    <w:p w:rsidR="0074213D" w:rsidRDefault="00746EDF">
      <w:pPr>
        <w:pStyle w:val="af1"/>
      </w:pPr>
      <w:r>
        <w:t xml:space="preserve">4.1.3 Предпроектные обследования проводятся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74213D" w:rsidRDefault="00746EDF">
      <w:pPr>
        <w:widowControl w:val="0"/>
        <w:tabs>
          <w:tab w:val="left" w:pos="-4680"/>
          <w:tab w:val="left" w:pos="1080"/>
        </w:tabs>
        <w:spacing w:before="0"/>
        <w:ind w:firstLine="709"/>
        <w:rPr>
          <w:i/>
          <w:iCs/>
          <w:szCs w:val="26"/>
        </w:rPr>
      </w:pPr>
      <w:r>
        <w:rPr>
          <w:szCs w:val="26"/>
        </w:rPr>
        <w:t>4.1.4 Отчет с результатами предпроектного обследования оформить отдельным томом и согласовать с Филиалом АО «СО ЕЭС» ОДУ Юга (далее – ОДУ Юга).</w:t>
      </w:r>
    </w:p>
    <w:p w:rsidR="0074213D" w:rsidRDefault="00746EDF">
      <w:pPr>
        <w:widowControl w:val="0"/>
        <w:tabs>
          <w:tab w:val="left" w:pos="-3960"/>
          <w:tab w:val="left" w:pos="1276"/>
          <w:tab w:val="left" w:pos="1440"/>
        </w:tabs>
        <w:ind w:firstLine="709"/>
        <w:rPr>
          <w:b/>
          <w:szCs w:val="26"/>
        </w:rPr>
      </w:pPr>
      <w:r>
        <w:rPr>
          <w:b/>
          <w:szCs w:val="26"/>
        </w:rPr>
        <w:t xml:space="preserve">4.2. </w:t>
      </w:r>
      <w:r>
        <w:rPr>
          <w:b/>
          <w:bCs/>
          <w:szCs w:val="26"/>
        </w:rPr>
        <w:t>Р</w:t>
      </w:r>
      <w:r>
        <w:rPr>
          <w:b/>
          <w:szCs w:val="26"/>
        </w:rPr>
        <w:t>азработка проектной документации.</w:t>
      </w:r>
    </w:p>
    <w:p w:rsidR="0074213D" w:rsidRDefault="00746EDF">
      <w:pPr>
        <w:tabs>
          <w:tab w:val="left" w:pos="356"/>
        </w:tabs>
        <w:rPr>
          <w:szCs w:val="26"/>
        </w:rPr>
      </w:pPr>
      <w:r>
        <w:rPr>
          <w:szCs w:val="26"/>
        </w:rPr>
        <w:t>Проектная документация разрабатывается и предоставляется в составе:</w:t>
      </w:r>
    </w:p>
    <w:p w:rsidR="0074213D" w:rsidRDefault="00746EDF">
      <w:pPr>
        <w:pStyle w:val="aff3"/>
        <w:tabs>
          <w:tab w:val="left" w:pos="356"/>
        </w:tabs>
        <w:ind w:left="0"/>
        <w:rPr>
          <w:rFonts w:ascii="Times New Roman" w:hAnsi="Times New Roman"/>
        </w:rPr>
      </w:pPr>
      <w:r>
        <w:t xml:space="preserve"> </w:t>
      </w:r>
      <w:r>
        <w:tab/>
      </w:r>
      <w:r>
        <w:tab/>
      </w:r>
      <w:r>
        <w:rPr>
          <w:rFonts w:ascii="Times New Roman" w:hAnsi="Times New Roman"/>
        </w:rPr>
        <w:t>- Пояснительная записка (ПЗ);</w:t>
      </w:r>
    </w:p>
    <w:p w:rsidR="0074213D" w:rsidRDefault="00746EDF">
      <w:pPr>
        <w:pStyle w:val="aff3"/>
        <w:tabs>
          <w:tab w:val="left" w:pos="356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- Подраздел 1. Система электроснабжения (ИОС5.1);</w:t>
      </w:r>
    </w:p>
    <w:p w:rsidR="0074213D" w:rsidRDefault="00746EDF">
      <w:pPr>
        <w:pStyle w:val="aff3"/>
        <w:tabs>
          <w:tab w:val="left" w:pos="356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- Подраздел 7. Технологические решения. Релейная защита и противоаварийная автоматика (ИОС5.7.1);</w:t>
      </w:r>
    </w:p>
    <w:p w:rsidR="0074213D" w:rsidRDefault="00746EDF">
      <w:pPr>
        <w:pStyle w:val="aff3"/>
        <w:tabs>
          <w:tab w:val="left" w:pos="356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- Подраздел 7. Технологические решения. АСУТП/ССПИ (ИОС5.7.2);</w:t>
      </w:r>
    </w:p>
    <w:p w:rsidR="0074213D" w:rsidRDefault="00746EDF">
      <w:pPr>
        <w:pStyle w:val="aff3"/>
        <w:tabs>
          <w:tab w:val="left" w:pos="356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- Подраздел 7. Технологические решения. Средства связи (ИОС5.7.3);</w:t>
      </w:r>
    </w:p>
    <w:p w:rsidR="0074213D" w:rsidRDefault="00746EDF">
      <w:pPr>
        <w:pStyle w:val="aff3"/>
        <w:tabs>
          <w:tab w:val="left" w:pos="356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- Проект организации строительства (ПОС);</w:t>
      </w:r>
    </w:p>
    <w:p w:rsidR="0074213D" w:rsidRDefault="00746EDF">
      <w:pPr>
        <w:pStyle w:val="aff3"/>
        <w:tabs>
          <w:tab w:val="left" w:pos="356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- Сметная документация (СМ).</w:t>
      </w:r>
    </w:p>
    <w:p w:rsidR="0074213D" w:rsidRDefault="00746EDF">
      <w:pPr>
        <w:widowControl w:val="0"/>
        <w:tabs>
          <w:tab w:val="left" w:pos="-4860"/>
          <w:tab w:val="left" w:pos="-4680"/>
        </w:tabs>
        <w:rPr>
          <w:szCs w:val="26"/>
        </w:rPr>
      </w:pPr>
      <w:r>
        <w:rPr>
          <w:szCs w:val="26"/>
        </w:rPr>
        <w:tab/>
        <w:t xml:space="preserve">4.2.1 </w:t>
      </w:r>
      <w:r>
        <w:rPr>
          <w:b/>
          <w:szCs w:val="26"/>
        </w:rPr>
        <w:t>В разделе «Пояснительная записка»</w:t>
      </w:r>
      <w:r>
        <w:rPr>
          <w:szCs w:val="26"/>
        </w:rPr>
        <w:t xml:space="preserve"> </w:t>
      </w:r>
      <w:r>
        <w:rPr>
          <w:b/>
          <w:szCs w:val="26"/>
        </w:rPr>
        <w:t>привести</w:t>
      </w:r>
      <w:r>
        <w:rPr>
          <w:szCs w:val="26"/>
        </w:rPr>
        <w:t xml:space="preserve"> реквизиты и сведения об использовании ранее разработанной документации при выполнении проектной документации по настоящему инвестиционному проекту: типовой проектной документации, проектов повторного применения, материалов ранее разработанной внестадийной и/или проектной документации и т.п.</w:t>
      </w:r>
    </w:p>
    <w:p w:rsidR="0074213D" w:rsidRDefault="00746EDF">
      <w:pPr>
        <w:widowControl w:val="0"/>
        <w:tabs>
          <w:tab w:val="left" w:pos="-4860"/>
        </w:tabs>
        <w:rPr>
          <w:b/>
          <w:szCs w:val="26"/>
        </w:rPr>
      </w:pPr>
      <w:r>
        <w:tab/>
        <w:t xml:space="preserve">4.2.2 </w:t>
      </w:r>
      <w:r>
        <w:rPr>
          <w:b/>
          <w:szCs w:val="26"/>
        </w:rPr>
        <w:t xml:space="preserve">В части технических решений по РЗА объекта проектирования </w:t>
      </w:r>
      <w:r>
        <w:rPr>
          <w:b/>
          <w:szCs w:val="26"/>
        </w:rPr>
        <w:br/>
        <w:t>и прилегающей сети с использованием микропроцессорных устройств, выполнить/определить в т.ч.:</w:t>
      </w:r>
    </w:p>
    <w:p w:rsidR="0074213D" w:rsidRDefault="00746EDF">
      <w:pPr>
        <w:widowControl w:val="0"/>
        <w:tabs>
          <w:tab w:val="left" w:pos="960"/>
        </w:tabs>
        <w:ind w:firstLine="720"/>
        <w:rPr>
          <w:szCs w:val="26"/>
        </w:rPr>
      </w:pPr>
      <w:r>
        <w:rPr>
          <w:szCs w:val="26"/>
        </w:rPr>
        <w:t xml:space="preserve">4.2.2.1 Схему распределения устройств информационно-технологических систем </w:t>
      </w:r>
      <w:r>
        <w:rPr>
          <w:szCs w:val="26"/>
        </w:rPr>
        <w:br/>
      </w:r>
      <w:r>
        <w:rPr>
          <w:szCs w:val="26"/>
        </w:rPr>
        <w:lastRenderedPageBreak/>
        <w:t xml:space="preserve">по ТТ и ТН (включая устройства РЗА) на объекте проектирования (в объеме распределительного устройства с присоединениями, на которых устанавливаются устройства ОМП и подключается АРО СГО). </w:t>
      </w:r>
    </w:p>
    <w:p w:rsidR="0074213D" w:rsidRDefault="00746EDF">
      <w:pPr>
        <w:widowControl w:val="0"/>
        <w:tabs>
          <w:tab w:val="left" w:pos="-4860"/>
          <w:tab w:val="left" w:pos="1440"/>
        </w:tabs>
        <w:ind w:firstLine="720"/>
        <w:rPr>
          <w:szCs w:val="26"/>
        </w:rPr>
      </w:pPr>
      <w:r>
        <w:rPr>
          <w:szCs w:val="26"/>
        </w:rPr>
        <w:t xml:space="preserve">4.2.2.2 Схемы организации цепей переменного напряжения на </w:t>
      </w:r>
      <w:r>
        <w:rPr>
          <w:spacing w:val="-4"/>
          <w:szCs w:val="26"/>
        </w:rPr>
        <w:t>объекте проектирования</w:t>
      </w:r>
      <w:r>
        <w:rPr>
          <w:szCs w:val="26"/>
        </w:rPr>
        <w:t>.</w:t>
      </w:r>
    </w:p>
    <w:p w:rsidR="0074213D" w:rsidRDefault="00746EDF">
      <w:pPr>
        <w:widowControl w:val="0"/>
        <w:tabs>
          <w:tab w:val="left" w:pos="-4860"/>
          <w:tab w:val="left" w:pos="1440"/>
        </w:tabs>
        <w:ind w:firstLine="720"/>
        <w:rPr>
          <w:szCs w:val="26"/>
        </w:rPr>
      </w:pPr>
      <w:r>
        <w:rPr>
          <w:szCs w:val="26"/>
        </w:rPr>
        <w:t xml:space="preserve">4.2.2.3 Мероприятия, исключающие необходимость вывода устройств РЗА, </w:t>
      </w:r>
      <w:r>
        <w:rPr>
          <w:szCs w:val="26"/>
        </w:rPr>
        <w:br/>
        <w:t xml:space="preserve">которые могут ложно сработать при проведении операций в их токовых цепях с помощью испытательных блоков из-за разности потенциалов между двумя точками заземления токовых цепей. </w:t>
      </w:r>
    </w:p>
    <w:p w:rsidR="0074213D" w:rsidRDefault="00746EDF">
      <w:pPr>
        <w:widowControl w:val="0"/>
        <w:tabs>
          <w:tab w:val="left" w:pos="1080"/>
          <w:tab w:val="left" w:pos="1980"/>
        </w:tabs>
        <w:ind w:firstLine="720"/>
        <w:rPr>
          <w:szCs w:val="26"/>
        </w:rPr>
      </w:pPr>
      <w:r>
        <w:rPr>
          <w:szCs w:val="26"/>
        </w:rPr>
        <w:t>4.2.2.4 Перечень шкафов и их функций ОМП и АРО СГО каждого элемента сети, необходимых на данном объекте.</w:t>
      </w:r>
    </w:p>
    <w:p w:rsidR="0074213D" w:rsidRDefault="00746EDF">
      <w:pPr>
        <w:widowControl w:val="0"/>
        <w:tabs>
          <w:tab w:val="left" w:pos="-4860"/>
          <w:tab w:val="left" w:pos="1440"/>
        </w:tabs>
        <w:ind w:firstLine="720"/>
        <w:rPr>
          <w:szCs w:val="26"/>
        </w:rPr>
      </w:pPr>
      <w:r>
        <w:rPr>
          <w:szCs w:val="26"/>
        </w:rPr>
        <w:t>4.2.2.5 Предварительный расчет и выбор параметров настройки, алгоритмов функционирования устройств ОМП выполнить с использованием результатов расчетов, выполненных в рамках разработки документации «Выполнение работ по разработке схемы выдачи мощности Зарамагской ГЭС-1», без выполнения расчетов токов короткого замыкания.</w:t>
      </w:r>
    </w:p>
    <w:p w:rsidR="0074213D" w:rsidRDefault="00746EDF">
      <w:pPr>
        <w:widowControl w:val="0"/>
        <w:tabs>
          <w:tab w:val="left" w:pos="-4860"/>
          <w:tab w:val="left" w:pos="1440"/>
        </w:tabs>
        <w:ind w:firstLine="720"/>
        <w:rPr>
          <w:szCs w:val="26"/>
        </w:rPr>
      </w:pPr>
      <w:r>
        <w:rPr>
          <w:szCs w:val="26"/>
        </w:rPr>
        <w:t>4.2.2.6 Выбор параметров настройки, алгоритмов функционирования АРО СГО выполнить с использованием результатов расчетов, выполненных в рамках разработки документации «Выполнение работ по разработке схемы выдачи мощности Зарамагской ГЭС-1», без выполнения расчетов установившихся режимов, расчетов статической и динамической устойчивости.</w:t>
      </w:r>
    </w:p>
    <w:p w:rsidR="0074213D" w:rsidRDefault="00746EDF">
      <w:pPr>
        <w:widowControl w:val="0"/>
        <w:tabs>
          <w:tab w:val="left" w:pos="-4860"/>
          <w:tab w:val="left" w:pos="1440"/>
        </w:tabs>
        <w:ind w:firstLine="709"/>
        <w:rPr>
          <w:szCs w:val="26"/>
        </w:rPr>
      </w:pPr>
      <w:r>
        <w:rPr>
          <w:szCs w:val="26"/>
        </w:rPr>
        <w:t xml:space="preserve">4.2.2.7. Технические решения по связи </w:t>
      </w:r>
      <w:r w:rsidR="002427BD" w:rsidRPr="002427BD">
        <w:rPr>
          <w:szCs w:val="26"/>
        </w:rPr>
        <w:t xml:space="preserve">в границах Зарамагской ГЭС-1 </w:t>
      </w:r>
      <w:r>
        <w:rPr>
          <w:szCs w:val="26"/>
        </w:rPr>
        <w:t>для обеспечения работы технологически связанных устройств ОМП и АРО СГО.</w:t>
      </w:r>
    </w:p>
    <w:p w:rsidR="0074213D" w:rsidRDefault="00746EDF">
      <w:pPr>
        <w:widowControl w:val="0"/>
        <w:tabs>
          <w:tab w:val="left" w:pos="-4860"/>
          <w:tab w:val="left" w:pos="1440"/>
        </w:tabs>
        <w:ind w:firstLine="709"/>
        <w:rPr>
          <w:szCs w:val="26"/>
        </w:rPr>
      </w:pPr>
      <w:r>
        <w:rPr>
          <w:szCs w:val="26"/>
        </w:rPr>
        <w:t xml:space="preserve">4.2.2.8. Решения по интеграции вновь устанавливаемых шкафов ОМП и АРО СГО в систему ПТК АСУ ТП/ССПИ и РАС. </w:t>
      </w:r>
    </w:p>
    <w:p w:rsidR="0074213D" w:rsidRDefault="00746EDF">
      <w:pPr>
        <w:pStyle w:val="25"/>
        <w:widowControl w:val="0"/>
        <w:tabs>
          <w:tab w:val="left" w:pos="-4860"/>
          <w:tab w:val="left" w:pos="1440"/>
        </w:tabs>
        <w:spacing w:line="240" w:lineRule="auto"/>
        <w:ind w:right="28" w:firstLine="709"/>
        <w:rPr>
          <w:szCs w:val="26"/>
        </w:rPr>
      </w:pPr>
      <w:r>
        <w:rPr>
          <w:szCs w:val="26"/>
        </w:rPr>
        <w:t>4.2.2.9. Решения по организации электропитания устройств ОМП и АРО СГО,</w:t>
      </w:r>
      <w:r>
        <w:rPr>
          <w:b/>
          <w:szCs w:val="26"/>
        </w:rPr>
        <w:t xml:space="preserve"> </w:t>
      </w:r>
      <w:r>
        <w:rPr>
          <w:szCs w:val="26"/>
        </w:rPr>
        <w:t>включая таблицы новых потребителей сети постоянного оперативного тока и их характеристики с учётом действующих НТД по чувствительности автоматических выключателей.</w:t>
      </w:r>
    </w:p>
    <w:p w:rsidR="0074213D" w:rsidRDefault="0074213D">
      <w:pPr>
        <w:widowControl w:val="0"/>
        <w:tabs>
          <w:tab w:val="left" w:pos="960"/>
        </w:tabs>
        <w:ind w:firstLine="720"/>
        <w:rPr>
          <w:szCs w:val="26"/>
        </w:rPr>
      </w:pPr>
    </w:p>
    <w:p w:rsidR="0074213D" w:rsidRDefault="00746EDF">
      <w:pPr>
        <w:widowControl w:val="0"/>
        <w:tabs>
          <w:tab w:val="left" w:pos="-4860"/>
        </w:tabs>
        <w:rPr>
          <w:b/>
          <w:szCs w:val="26"/>
        </w:rPr>
      </w:pPr>
      <w:r>
        <w:rPr>
          <w:b/>
          <w:szCs w:val="26"/>
        </w:rPr>
        <w:tab/>
        <w:t>4.2.3 В части технических решений по ПТК А</w:t>
      </w:r>
      <w:r>
        <w:rPr>
          <w:b/>
          <w:szCs w:val="26"/>
          <w:lang w:val="en-US"/>
        </w:rPr>
        <w:t>C</w:t>
      </w:r>
      <w:r>
        <w:rPr>
          <w:b/>
          <w:szCs w:val="26"/>
        </w:rPr>
        <w:t>У ТП/ССПИ необходимо выполнить/определить:</w:t>
      </w:r>
    </w:p>
    <w:p w:rsidR="0074213D" w:rsidRDefault="00746ED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rPr>
          <w:szCs w:val="26"/>
        </w:rPr>
      </w:pPr>
      <w:r>
        <w:rPr>
          <w:szCs w:val="26"/>
        </w:rPr>
        <w:t>4.2.3.1. Необходимость и объемы расширения ПТК АСУ ТП/ССПИ определяется в томе ППО.</w:t>
      </w:r>
    </w:p>
    <w:p w:rsidR="0074213D" w:rsidRDefault="00746ED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</w:pPr>
      <w:r>
        <w:rPr>
          <w:szCs w:val="26"/>
        </w:rPr>
        <w:t>4.2.3.2. Предусмотреть интеграцию устанавливаемых устройств ОМП и АРО СГО в ПТК АСУ ТП/ССПИ.</w:t>
      </w:r>
    </w:p>
    <w:p w:rsidR="0074213D" w:rsidRDefault="00746EDF">
      <w:pPr>
        <w:widowControl w:val="0"/>
        <w:spacing w:before="0"/>
        <w:ind w:firstLine="708"/>
        <w:rPr>
          <w:szCs w:val="26"/>
        </w:rPr>
      </w:pPr>
      <w:r>
        <w:rPr>
          <w:szCs w:val="26"/>
        </w:rPr>
        <w:t>4.2.3.3 В составе проектной документации разработать решения по обмену оперативной технологической информацией с Северокавказским РДУ на базе стандартных коммуникационных протоколов МЭК: выбор направления обмена, определение состава и объема информации, обобщенный расчет данных каждого типа для каждого направления обмена по вновь вводимому (модернизируемому) оборудованию, расчет требуемой пропускной способности каналов связи.</w:t>
      </w:r>
    </w:p>
    <w:p w:rsidR="0074213D" w:rsidRDefault="00746ED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720"/>
        <w:rPr>
          <w:szCs w:val="26"/>
        </w:rPr>
      </w:pPr>
      <w:r>
        <w:rPr>
          <w:szCs w:val="26"/>
        </w:rPr>
        <w:t xml:space="preserve">Перечень сигналов ТИ, ТС, АПТС для передачи в </w:t>
      </w:r>
      <w:r>
        <w:rPr>
          <w:szCs w:val="26"/>
        </w:rPr>
        <w:br/>
        <w:t>Северокавказское РДУ представить в виде таблицы, которая должна содержать:</w:t>
      </w:r>
    </w:p>
    <w:p w:rsidR="0074213D" w:rsidRDefault="00746EDF">
      <w:pPr>
        <w:pStyle w:val="aff3"/>
        <w:numPr>
          <w:ilvl w:val="0"/>
          <w:numId w:val="3"/>
        </w:numPr>
        <w:spacing w:after="0" w:line="240" w:lineRule="auto"/>
        <w:ind w:left="0" w:firstLine="709"/>
        <w:rPr>
          <w:szCs w:val="26"/>
        </w:rPr>
      </w:pPr>
      <w:r>
        <w:rPr>
          <w:rFonts w:ascii="Times New Roman" w:hAnsi="Times New Roman"/>
          <w:szCs w:val="26"/>
        </w:rPr>
        <w:t>диспетчерское наименование присоединения, системы (секции) шин;</w:t>
      </w:r>
    </w:p>
    <w:p w:rsidR="0074213D" w:rsidRDefault="00746EDF">
      <w:pPr>
        <w:pStyle w:val="aff3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lastRenderedPageBreak/>
        <w:t xml:space="preserve">перечень сигналов ТИ, ТС, АПТС передаваемых в </w:t>
      </w:r>
      <w:r>
        <w:rPr>
          <w:rFonts w:ascii="Times New Roman" w:hAnsi="Times New Roman"/>
          <w:szCs w:val="26"/>
        </w:rPr>
        <w:br/>
        <w:t>Северокавказское РДУ.</w:t>
      </w:r>
    </w:p>
    <w:p w:rsidR="0074213D" w:rsidRDefault="00746EDF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rPr>
          <w:strike/>
        </w:rPr>
      </w:pPr>
      <w:r>
        <w:rPr>
          <w:szCs w:val="26"/>
        </w:rPr>
        <w:tab/>
        <w:t>Протокол обмена телеинформацией с Северокавказским РДУ по двум независимым каналам связи, обеспечивающим организацию отказоустойчивой структуры обмена информацией, должен соответствовать ГОСТ Р МЭК 60870-5-104-2004. Реализация протокола и организация обмена должны соответствовать «Методическим рекомендациям по реализации информационного обмена энергообъектов с корпоративной информационной системой АО «СО ЕЭС» по протоколу ГОСТ Р МЭК 60870-5-101» и «Методическим рекомендациям по реализации информационного обмена энергообъектов с корпоративной информационной системой ОАО «СО ЕЭС» по протоколу ГОСТ Р МЭК 60870-5-104-2004». Обмен телеинформацией с Северокавказским РДУ должен осуществляться по протоколу ГОСТ Р МЭК 60870-5-104-2004.</w:t>
      </w:r>
    </w:p>
    <w:p w:rsidR="0074213D" w:rsidRDefault="0074213D">
      <w:pPr>
        <w:widowControl w:val="0"/>
        <w:tabs>
          <w:tab w:val="left" w:pos="-4860"/>
          <w:tab w:val="left" w:pos="-4680"/>
          <w:tab w:val="left" w:pos="1080"/>
          <w:tab w:val="left" w:pos="1701"/>
        </w:tabs>
      </w:pPr>
    </w:p>
    <w:p w:rsidR="0074213D" w:rsidRDefault="00746EDF">
      <w:pPr>
        <w:widowControl w:val="0"/>
        <w:tabs>
          <w:tab w:val="left" w:pos="-4860"/>
        </w:tabs>
        <w:rPr>
          <w:b/>
          <w:szCs w:val="26"/>
        </w:rPr>
      </w:pPr>
      <w:r>
        <w:rPr>
          <w:b/>
          <w:szCs w:val="26"/>
        </w:rPr>
        <w:tab/>
        <w:t>4.2.4 В части создания/модернизации систем связи выполнить/определить:</w:t>
      </w:r>
    </w:p>
    <w:p w:rsidR="0074213D" w:rsidRDefault="00746EDF">
      <w:pPr>
        <w:widowControl w:val="0"/>
        <w:ind w:right="52" w:firstLine="708"/>
        <w:rPr>
          <w:spacing w:val="-4"/>
          <w:szCs w:val="26"/>
        </w:rPr>
      </w:pPr>
      <w:r>
        <w:rPr>
          <w:szCs w:val="26"/>
        </w:rPr>
        <w:t xml:space="preserve">4.2.4.1. Предусмотреть организацию системы связи </w:t>
      </w:r>
      <w:r>
        <w:rPr>
          <w:spacing w:val="-4"/>
          <w:szCs w:val="26"/>
        </w:rPr>
        <w:t>на Зарамагской ГЭС-1 для целей ОМП, а также обмена авариной и доаварийной информацией АРО СГО.</w:t>
      </w:r>
    </w:p>
    <w:p w:rsidR="0074213D" w:rsidRDefault="00746EDF">
      <w:pPr>
        <w:pStyle w:val="aff3"/>
        <w:ind w:left="0" w:right="52"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spacing w:val="-4"/>
          <w:szCs w:val="26"/>
        </w:rPr>
        <w:t xml:space="preserve">4.2.4.2. </w:t>
      </w:r>
      <w:r>
        <w:rPr>
          <w:rFonts w:ascii="Times New Roman" w:hAnsi="Times New Roman"/>
        </w:rPr>
        <w:t>В составе проектной документации должны быть разработаны и обоснованы организационно-технические решения по созданию новых и/или модернизации существующих систем связи,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>включая:</w:t>
      </w:r>
    </w:p>
    <w:p w:rsidR="0074213D" w:rsidRDefault="00746EDF">
      <w:pPr>
        <w:pStyle w:val="aff3"/>
        <w:widowControl w:val="0"/>
        <w:numPr>
          <w:ilvl w:val="0"/>
          <w:numId w:val="16"/>
        </w:numPr>
        <w:spacing w:before="1" w:after="0" w:line="240" w:lineRule="auto"/>
        <w:ind w:left="0" w:right="52" w:firstLine="709"/>
        <w:rPr>
          <w:rFonts w:ascii="Times New Roman" w:hAnsi="Times New Roman"/>
        </w:rPr>
      </w:pPr>
      <w:r>
        <w:rPr>
          <w:rFonts w:ascii="Times New Roman" w:hAnsi="Times New Roman"/>
        </w:rPr>
        <w:t>Решения по размещению оборудования связи.</w:t>
      </w:r>
    </w:p>
    <w:p w:rsidR="0074213D" w:rsidRDefault="00746EDF">
      <w:pPr>
        <w:pStyle w:val="aff3"/>
        <w:widowControl w:val="0"/>
        <w:numPr>
          <w:ilvl w:val="0"/>
          <w:numId w:val="17"/>
        </w:numPr>
        <w:spacing w:after="0" w:line="240" w:lineRule="auto"/>
        <w:ind w:left="0" w:right="52" w:firstLine="709"/>
        <w:rPr>
          <w:rFonts w:ascii="Times New Roman" w:hAnsi="Times New Roman"/>
        </w:rPr>
      </w:pPr>
      <w:r>
        <w:rPr>
          <w:rFonts w:ascii="Times New Roman" w:hAnsi="Times New Roman"/>
        </w:rPr>
        <w:t>Состав оборудования с указанием наименований и обозначений оборудования, приведенных на схемах.</w:t>
      </w:r>
    </w:p>
    <w:p w:rsidR="0074213D" w:rsidRDefault="00746EDF">
      <w:pPr>
        <w:pStyle w:val="aff3"/>
        <w:widowControl w:val="0"/>
        <w:numPr>
          <w:ilvl w:val="0"/>
          <w:numId w:val="18"/>
        </w:numPr>
        <w:spacing w:after="0" w:line="240" w:lineRule="auto"/>
        <w:ind w:left="0" w:right="52"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Схемы и чертежи с позиционным обозначением оборудования </w:t>
      </w:r>
      <w:r>
        <w:rPr>
          <w:rFonts w:ascii="Times New Roman" w:hAnsi="Times New Roman"/>
          <w:spacing w:val="-16"/>
        </w:rPr>
        <w:t xml:space="preserve">в </w:t>
      </w:r>
      <w:r>
        <w:rPr>
          <w:rFonts w:ascii="Times New Roman" w:hAnsi="Times New Roman"/>
        </w:rPr>
        <w:t>спецификации,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включая:</w:t>
      </w:r>
    </w:p>
    <w:p w:rsidR="0074213D" w:rsidRDefault="00746EDF">
      <w:pPr>
        <w:pStyle w:val="aff3"/>
        <w:widowControl w:val="0"/>
        <w:numPr>
          <w:ilvl w:val="0"/>
          <w:numId w:val="2"/>
        </w:numPr>
        <w:spacing w:after="0" w:line="299" w:lineRule="exact"/>
        <w:ind w:left="0" w:right="52" w:firstLine="709"/>
        <w:rPr>
          <w:rFonts w:ascii="Times New Roman" w:hAnsi="Times New Roman"/>
        </w:rPr>
      </w:pPr>
      <w:r>
        <w:rPr>
          <w:rFonts w:ascii="Times New Roman" w:hAnsi="Times New Roman"/>
        </w:rPr>
        <w:t>схему соединения узлов (линейную</w:t>
      </w:r>
      <w:r>
        <w:rPr>
          <w:rFonts w:ascii="Times New Roman" w:hAnsi="Times New Roman"/>
          <w:spacing w:val="-4"/>
        </w:rPr>
        <w:t xml:space="preserve"> </w:t>
      </w:r>
      <w:r>
        <w:rPr>
          <w:rFonts w:ascii="Times New Roman" w:hAnsi="Times New Roman"/>
        </w:rPr>
        <w:t>схему);</w:t>
      </w:r>
    </w:p>
    <w:p w:rsidR="0074213D" w:rsidRDefault="00746EDF">
      <w:pPr>
        <w:pStyle w:val="aff3"/>
        <w:widowControl w:val="0"/>
        <w:numPr>
          <w:ilvl w:val="0"/>
          <w:numId w:val="2"/>
        </w:numPr>
        <w:spacing w:after="0" w:line="298" w:lineRule="exact"/>
        <w:ind w:left="0" w:right="52" w:firstLine="709"/>
        <w:rPr>
          <w:rFonts w:ascii="Times New Roman" w:hAnsi="Times New Roman"/>
        </w:rPr>
      </w:pPr>
      <w:r>
        <w:rPr>
          <w:rFonts w:ascii="Times New Roman" w:hAnsi="Times New Roman"/>
        </w:rPr>
        <w:t>схемы организации связи для проектируемой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</w:rPr>
        <w:t>системы;</w:t>
      </w:r>
    </w:p>
    <w:p w:rsidR="0074213D" w:rsidRDefault="00746EDF">
      <w:pPr>
        <w:pStyle w:val="aff3"/>
        <w:widowControl w:val="0"/>
        <w:numPr>
          <w:ilvl w:val="0"/>
          <w:numId w:val="2"/>
        </w:numPr>
        <w:spacing w:after="0" w:line="240" w:lineRule="auto"/>
        <w:ind w:left="0" w:right="52" w:firstLine="709"/>
        <w:rPr>
          <w:rFonts w:ascii="Times New Roman" w:hAnsi="Times New Roman"/>
        </w:rPr>
      </w:pPr>
      <w:r>
        <w:rPr>
          <w:rFonts w:ascii="Times New Roman" w:hAnsi="Times New Roman"/>
        </w:rPr>
        <w:t>структурную схему организации каналов ОМП (с учетом различных сред передачи, включая каналы по выделенным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волокнам);</w:t>
      </w:r>
    </w:p>
    <w:p w:rsidR="0074213D" w:rsidRDefault="00746EDF">
      <w:pPr>
        <w:pStyle w:val="aff3"/>
        <w:widowControl w:val="0"/>
        <w:numPr>
          <w:ilvl w:val="0"/>
          <w:numId w:val="2"/>
        </w:numPr>
        <w:spacing w:after="0" w:line="298" w:lineRule="exact"/>
        <w:ind w:left="0" w:right="52" w:firstLine="709"/>
        <w:rPr>
          <w:rFonts w:ascii="Times New Roman" w:hAnsi="Times New Roman"/>
        </w:rPr>
      </w:pPr>
      <w:r>
        <w:rPr>
          <w:rFonts w:ascii="Times New Roman" w:hAnsi="Times New Roman"/>
        </w:rPr>
        <w:t>размещение оборудования связи;</w:t>
      </w:r>
    </w:p>
    <w:p w:rsidR="0074213D" w:rsidRDefault="00746EDF">
      <w:pPr>
        <w:pStyle w:val="aff3"/>
        <w:widowControl w:val="0"/>
        <w:numPr>
          <w:ilvl w:val="0"/>
          <w:numId w:val="2"/>
        </w:numPr>
        <w:spacing w:after="0" w:line="298" w:lineRule="exact"/>
        <w:ind w:left="0" w:right="52" w:firstLine="709"/>
        <w:rPr>
          <w:rFonts w:ascii="Times New Roman" w:hAnsi="Times New Roman"/>
        </w:rPr>
      </w:pPr>
      <w:r>
        <w:rPr>
          <w:rFonts w:ascii="Times New Roman" w:hAnsi="Times New Roman"/>
        </w:rPr>
        <w:t>схемы организации линейно-кабельных</w:t>
      </w:r>
      <w:r>
        <w:rPr>
          <w:rFonts w:ascii="Times New Roman" w:hAnsi="Times New Roman"/>
          <w:spacing w:val="-5"/>
        </w:rPr>
        <w:t xml:space="preserve"> </w:t>
      </w:r>
      <w:r>
        <w:rPr>
          <w:rFonts w:ascii="Times New Roman" w:hAnsi="Times New Roman"/>
        </w:rPr>
        <w:t>сооружений.</w:t>
      </w:r>
    </w:p>
    <w:p w:rsidR="0074213D" w:rsidRDefault="00746EDF">
      <w:pPr>
        <w:pStyle w:val="aff3"/>
        <w:ind w:left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4.2.5 В подразделе «Система электроснабжения» отразить:</w:t>
      </w:r>
    </w:p>
    <w:p w:rsidR="0074213D" w:rsidRDefault="00746EDF">
      <w:pPr>
        <w:pStyle w:val="aff3"/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4.2.5.1 Решения по электроснабжению вновь устанавливаемого оборудования.</w:t>
      </w:r>
    </w:p>
    <w:p w:rsidR="0074213D" w:rsidRDefault="00746EDF">
      <w:pPr>
        <w:pStyle w:val="aff3"/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4.2.5.2 Мероприятия по заземлению и электромагнитной совместимости (ЭМС) вновь устанавливаемого оборудования.</w:t>
      </w:r>
    </w:p>
    <w:p w:rsidR="0074213D" w:rsidRDefault="00746EDF">
      <w:pPr>
        <w:pStyle w:val="aff3"/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4.5.2.3 Кабельные трассы прокладки силовых и контрольных кабелей от существующих источников до вновь устанавливаемого оборудования.</w:t>
      </w:r>
    </w:p>
    <w:p w:rsidR="0074213D" w:rsidRDefault="00746EDF">
      <w:pPr>
        <w:pStyle w:val="aff3"/>
        <w:ind w:left="709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4.2.6 В Разделе ПОС отразить:</w:t>
      </w:r>
    </w:p>
    <w:p w:rsidR="0074213D" w:rsidRDefault="00746EDF">
      <w:pPr>
        <w:pStyle w:val="aff3"/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4.2.6.1 Продолжительности</w:t>
      </w:r>
      <w:r>
        <w:rPr>
          <w:rFonts w:ascii="Times New Roman" w:hAnsi="Times New Roman"/>
          <w:spacing w:val="-14"/>
        </w:rPr>
        <w:t xml:space="preserve"> </w:t>
      </w:r>
      <w:r>
        <w:rPr>
          <w:rFonts w:ascii="Times New Roman" w:hAnsi="Times New Roman"/>
        </w:rPr>
        <w:t>выполнения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</w:rPr>
        <w:t>строительно-монтажных работ.</w:t>
      </w:r>
    </w:p>
    <w:p w:rsidR="0074213D" w:rsidRDefault="00746EDF">
      <w:pPr>
        <w:pStyle w:val="aff3"/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4.2.6.2 Ведомость объемов работ (ВОР) по всем разделам проекта.</w:t>
      </w:r>
    </w:p>
    <w:p w:rsidR="0074213D" w:rsidRDefault="00746EDF">
      <w:pPr>
        <w:pStyle w:val="aff3"/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4.2.6.3 Организацию и технологическую последовательность работ по монтажу оборудования.</w:t>
      </w:r>
    </w:p>
    <w:p w:rsidR="0074213D" w:rsidRDefault="00746EDF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 xml:space="preserve">Итогом этапа является согласованная с ПАО «РусГидро», филиалом ПАО «Россети» – МЭС Юга, ОДУ Юга проектная документация. </w:t>
      </w:r>
    </w:p>
    <w:p w:rsidR="0074213D" w:rsidRDefault="00746EDF">
      <w:pPr>
        <w:widowControl w:val="0"/>
        <w:tabs>
          <w:tab w:val="left" w:pos="-3960"/>
          <w:tab w:val="left" w:pos="1276"/>
          <w:tab w:val="left" w:pos="1440"/>
        </w:tabs>
        <w:ind w:firstLine="709"/>
        <w:rPr>
          <w:b/>
          <w:szCs w:val="26"/>
        </w:rPr>
      </w:pPr>
      <w:r>
        <w:rPr>
          <w:b/>
          <w:szCs w:val="26"/>
        </w:rPr>
        <w:t xml:space="preserve">4.3. </w:t>
      </w:r>
      <w:r>
        <w:rPr>
          <w:b/>
          <w:szCs w:val="26"/>
          <w:lang w:eastAsia="ja-JP"/>
        </w:rPr>
        <w:t>Р</w:t>
      </w:r>
      <w:r>
        <w:rPr>
          <w:b/>
          <w:szCs w:val="26"/>
        </w:rPr>
        <w:t>азработка технической части конкурсной документации (ТЧКД) для проведения процедур по определению поставщика оборудования.</w:t>
      </w:r>
    </w:p>
    <w:p w:rsidR="0074213D" w:rsidRDefault="00746EDF">
      <w:pPr>
        <w:widowControl w:val="0"/>
        <w:tabs>
          <w:tab w:val="left" w:pos="108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lastRenderedPageBreak/>
        <w:t>Разработать техническую часть конкурсной документации (ТЧКД) в объеме достаточном для включения в конкурсную документацию и выбора поставщика оборудования.</w:t>
      </w:r>
    </w:p>
    <w:p w:rsidR="0074213D" w:rsidRDefault="00746EDF">
      <w:pPr>
        <w:widowControl w:val="0"/>
        <w:tabs>
          <w:tab w:val="left" w:pos="1080"/>
        </w:tabs>
        <w:spacing w:before="0"/>
        <w:ind w:firstLine="709"/>
        <w:contextualSpacing/>
        <w:rPr>
          <w:b/>
          <w:szCs w:val="26"/>
        </w:rPr>
      </w:pPr>
      <w:r>
        <w:rPr>
          <w:b/>
          <w:szCs w:val="26"/>
        </w:rPr>
        <w:t>4.4. Разработка рабочей документации</w:t>
      </w:r>
    </w:p>
    <w:p w:rsidR="0074213D" w:rsidRDefault="00746EDF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4.6.1. Разработать рабочую документация, обеспечивающую реализацию принятых в утвержденной проектной документации технических решений по объекту, необходимых для производства строительно-монтажных работ.</w:t>
      </w:r>
    </w:p>
    <w:p w:rsidR="0074213D" w:rsidRDefault="00746EDF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4.6.2. Рабочую документация согласовать с ПАО «РусГидро», филиалом ПАО «Россети» – МЭС Юга, ОДУ Юга.</w:t>
      </w:r>
    </w:p>
    <w:p w:rsidR="0074213D" w:rsidRDefault="0074213D">
      <w:pPr>
        <w:widowControl w:val="0"/>
        <w:spacing w:before="0"/>
        <w:contextualSpacing/>
        <w:rPr>
          <w:szCs w:val="26"/>
        </w:rPr>
      </w:pPr>
    </w:p>
    <w:p w:rsidR="0074213D" w:rsidRDefault="00746EDF">
      <w:pPr>
        <w:widowControl w:val="0"/>
        <w:spacing w:before="0"/>
        <w:ind w:firstLine="720"/>
        <w:contextualSpacing/>
        <w:rPr>
          <w:b/>
        </w:rPr>
      </w:pPr>
      <w:r>
        <w:rPr>
          <w:b/>
        </w:rPr>
        <w:t>5. Особые условия.</w:t>
      </w:r>
    </w:p>
    <w:p w:rsidR="0074213D" w:rsidRDefault="00746EDF">
      <w:pPr>
        <w:widowControl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 xml:space="preserve">5.1. Подрядчик в день завершения работ, указанный в календарном плане, направляет Заказчику Акт сдачи-приемки выполненных работ с приложением 4 (четырех) экземпляров ПСД в бумажном виде и 1 экземпляр в электронном виде (на </w:t>
      </w:r>
      <w:r>
        <w:rPr>
          <w:szCs w:val="26"/>
          <w:lang w:val="en-US"/>
        </w:rPr>
        <w:t>CD</w:t>
      </w:r>
      <w:r>
        <w:rPr>
          <w:szCs w:val="26"/>
        </w:rPr>
        <w:t>).</w:t>
      </w:r>
    </w:p>
    <w:p w:rsidR="0074213D" w:rsidRDefault="00746EDF">
      <w:pPr>
        <w:widowControl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>5.2. Использование форматов при передаче документации в электронном виде:</w:t>
      </w:r>
    </w:p>
    <w:p w:rsidR="0074213D" w:rsidRDefault="0074213D">
      <w:pPr>
        <w:widowControl w:val="0"/>
        <w:spacing w:before="0"/>
        <w:ind w:firstLine="720"/>
        <w:contextualSpacing/>
        <w:rPr>
          <w:szCs w:val="26"/>
        </w:rPr>
      </w:pPr>
    </w:p>
    <w:tbl>
      <w:tblPr>
        <w:tblW w:w="997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3190"/>
        <w:gridCol w:w="4616"/>
        <w:gridCol w:w="2167"/>
      </w:tblGrid>
      <w:tr w:rsidR="0074213D">
        <w:trPr>
          <w:trHeight w:val="522"/>
        </w:trPr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  <w:rPr>
                <w:b/>
                <w:szCs w:val="26"/>
              </w:rPr>
            </w:pPr>
            <w:r>
              <w:rPr>
                <w:b/>
                <w:szCs w:val="26"/>
              </w:rPr>
              <w:t>Вид документа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  <w:rPr>
                <w:b/>
                <w:szCs w:val="26"/>
              </w:rPr>
            </w:pPr>
            <w:r>
              <w:rPr>
                <w:b/>
                <w:szCs w:val="26"/>
              </w:rPr>
              <w:t>Используемое приложение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  <w:rPr>
                <w:b/>
                <w:szCs w:val="26"/>
              </w:rPr>
            </w:pPr>
            <w:r>
              <w:rPr>
                <w:b/>
                <w:szCs w:val="26"/>
              </w:rPr>
              <w:t>Формат</w:t>
            </w:r>
          </w:p>
        </w:tc>
      </w:tr>
      <w:tr w:rsidR="0074213D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</w:pPr>
            <w:r>
              <w:t>Текстовая часть, описания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MS Word   </w:t>
            </w:r>
            <w:r>
              <w:t>и</w:t>
            </w:r>
          </w:p>
          <w:p w:rsidR="0074213D" w:rsidRDefault="00746EDF">
            <w:pPr>
              <w:widowControl w:val="0"/>
              <w:spacing w:before="0"/>
              <w:contextualSpacing/>
              <w:rPr>
                <w:lang w:val="en-US"/>
              </w:rPr>
            </w:pPr>
            <w:r>
              <w:rPr>
                <w:lang w:val="en-US"/>
              </w:rPr>
              <w:t>Adobe Acrobat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  <w:rPr>
                <w:lang w:val="en-US"/>
              </w:rPr>
            </w:pPr>
            <w:r>
              <w:rPr>
                <w:lang w:val="en-US"/>
              </w:rPr>
              <w:t>.doc</w:t>
            </w:r>
          </w:p>
          <w:p w:rsidR="0074213D" w:rsidRDefault="00746EDF">
            <w:pPr>
              <w:widowControl w:val="0"/>
              <w:spacing w:before="0"/>
              <w:contextualSpacing/>
              <w:rPr>
                <w:lang w:val="en-US"/>
              </w:rPr>
            </w:pPr>
            <w:r>
              <w:rPr>
                <w:lang w:val="en-US"/>
              </w:rPr>
              <w:t>.pdf</w:t>
            </w:r>
          </w:p>
        </w:tc>
      </w:tr>
      <w:tr w:rsidR="0074213D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</w:pPr>
            <w:r>
              <w:t>Таблицы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MS Excel    </w:t>
            </w:r>
            <w:r>
              <w:t>и</w:t>
            </w:r>
          </w:p>
          <w:p w:rsidR="0074213D" w:rsidRDefault="00746EDF">
            <w:pPr>
              <w:widowControl w:val="0"/>
              <w:spacing w:before="0"/>
              <w:contextualSpacing/>
              <w:rPr>
                <w:lang w:val="en-US"/>
              </w:rPr>
            </w:pPr>
            <w:r>
              <w:rPr>
                <w:lang w:val="en-US"/>
              </w:rPr>
              <w:t>Adobe Acrobat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  <w:rPr>
                <w:lang w:val="en-US"/>
              </w:rPr>
            </w:pPr>
            <w:r>
              <w:rPr>
                <w:lang w:val="en-US"/>
              </w:rPr>
              <w:t>.xls</w:t>
            </w:r>
          </w:p>
          <w:p w:rsidR="0074213D" w:rsidRDefault="00746EDF">
            <w:pPr>
              <w:widowControl w:val="0"/>
              <w:spacing w:before="0"/>
              <w:contextualSpacing/>
            </w:pPr>
            <w:r>
              <w:rPr>
                <w:lang w:val="en-US"/>
              </w:rPr>
              <w:t>.pdf</w:t>
            </w:r>
          </w:p>
        </w:tc>
      </w:tr>
      <w:tr w:rsidR="0074213D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</w:pPr>
            <w:r>
              <w:t>Чертежи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</w:pPr>
            <w:r>
              <w:rPr>
                <w:lang w:val="en-US"/>
              </w:rPr>
              <w:t>NanoCAD</w:t>
            </w:r>
            <w:r>
              <w:t xml:space="preserve">    и</w:t>
            </w:r>
          </w:p>
          <w:p w:rsidR="0074213D" w:rsidRDefault="00746EDF">
            <w:pPr>
              <w:widowControl w:val="0"/>
              <w:spacing w:before="0"/>
              <w:contextualSpacing/>
              <w:rPr>
                <w:lang w:val="en-US"/>
              </w:rPr>
            </w:pPr>
            <w:r>
              <w:rPr>
                <w:lang w:val="en-US"/>
              </w:rPr>
              <w:t>Adobe Acrobat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  <w:rPr>
                <w:lang w:val="en-US"/>
              </w:rPr>
            </w:pPr>
            <w:r>
              <w:rPr>
                <w:lang w:val="en-US"/>
              </w:rPr>
              <w:t>.dwg</w:t>
            </w:r>
          </w:p>
          <w:p w:rsidR="0074213D" w:rsidRDefault="00746EDF">
            <w:pPr>
              <w:widowControl w:val="0"/>
              <w:spacing w:before="0"/>
              <w:contextualSpacing/>
            </w:pPr>
            <w:r>
              <w:rPr>
                <w:lang w:val="en-US"/>
              </w:rPr>
              <w:t>.pdf</w:t>
            </w:r>
          </w:p>
        </w:tc>
      </w:tr>
      <w:tr w:rsidR="0074213D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</w:pPr>
            <w:r>
              <w:t>Графический материал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  <w:rPr>
                <w:lang w:val="en-US"/>
              </w:rPr>
            </w:pPr>
            <w:r>
              <w:rPr>
                <w:lang w:val="en-US"/>
              </w:rPr>
              <w:t xml:space="preserve">MS Photo Editor    </w:t>
            </w:r>
            <w:r>
              <w:t>и</w:t>
            </w:r>
          </w:p>
          <w:p w:rsidR="0074213D" w:rsidRDefault="00746EDF">
            <w:pPr>
              <w:widowControl w:val="0"/>
              <w:spacing w:before="0"/>
              <w:contextualSpacing/>
              <w:rPr>
                <w:lang w:val="en-US"/>
              </w:rPr>
            </w:pPr>
            <w:r>
              <w:rPr>
                <w:lang w:val="en-US"/>
              </w:rPr>
              <w:t>Adobe Acrobat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  <w:rPr>
                <w:lang w:val="en-US"/>
              </w:rPr>
            </w:pPr>
            <w:r>
              <w:rPr>
                <w:lang w:val="en-US"/>
              </w:rPr>
              <w:t>.jpg</w:t>
            </w:r>
          </w:p>
          <w:p w:rsidR="0074213D" w:rsidRDefault="00746EDF">
            <w:pPr>
              <w:widowControl w:val="0"/>
              <w:spacing w:before="0"/>
              <w:contextualSpacing/>
            </w:pPr>
            <w:r>
              <w:rPr>
                <w:lang w:val="en-US"/>
              </w:rPr>
              <w:t>.pdf</w:t>
            </w:r>
          </w:p>
        </w:tc>
      </w:tr>
      <w:tr w:rsidR="0074213D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</w:pPr>
            <w:r>
              <w:t>Электронный архив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  <w:rPr>
                <w:lang w:val="en-US"/>
              </w:rPr>
            </w:pPr>
            <w:r>
              <w:rPr>
                <w:lang w:val="en-US"/>
              </w:rPr>
              <w:t>WinRar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</w:pPr>
            <w:r>
              <w:rPr>
                <w:lang w:val="en-US"/>
              </w:rPr>
              <w:t>.rar</w:t>
            </w:r>
            <w:r>
              <w:t xml:space="preserve"> </w:t>
            </w:r>
            <w:r>
              <w:rPr>
                <w:szCs w:val="26"/>
              </w:rPr>
              <w:t>*</w:t>
            </w:r>
          </w:p>
        </w:tc>
      </w:tr>
      <w:tr w:rsidR="0074213D">
        <w:tc>
          <w:tcPr>
            <w:tcW w:w="3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</w:pPr>
            <w:r>
              <w:rPr>
                <w:szCs w:val="26"/>
              </w:rPr>
              <w:t>Сметная документация</w:t>
            </w:r>
          </w:p>
        </w:tc>
        <w:tc>
          <w:tcPr>
            <w:tcW w:w="4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  <w:rPr>
                <w:szCs w:val="26"/>
              </w:rPr>
            </w:pPr>
            <w:r>
              <w:rPr>
                <w:lang w:val="en-US"/>
              </w:rPr>
              <w:t>MS</w:t>
            </w:r>
            <w:r>
              <w:t xml:space="preserve"> </w:t>
            </w:r>
            <w:r>
              <w:rPr>
                <w:lang w:val="en-US"/>
              </w:rPr>
              <w:t>Excel</w:t>
            </w:r>
            <w:r>
              <w:t xml:space="preserve"> и в формате программы «ГРАНД СМЕТА»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13D" w:rsidRDefault="00746EDF">
            <w:pPr>
              <w:widowControl w:val="0"/>
              <w:spacing w:before="0"/>
              <w:contextualSpacing/>
              <w:rPr>
                <w:lang w:val="en-US"/>
              </w:rPr>
            </w:pPr>
            <w:r>
              <w:rPr>
                <w:lang w:val="en-US"/>
              </w:rPr>
              <w:t>.xls</w:t>
            </w:r>
          </w:p>
          <w:p w:rsidR="0074213D" w:rsidRDefault="00746EDF">
            <w:pPr>
              <w:widowControl w:val="0"/>
              <w:spacing w:before="0"/>
              <w:contextualSpacing/>
              <w:rPr>
                <w:lang w:val="en-US"/>
              </w:rPr>
            </w:pPr>
            <w:r>
              <w:t>.</w:t>
            </w:r>
            <w:r>
              <w:rPr>
                <w:lang w:val="en-US"/>
              </w:rPr>
              <w:t>gsf</w:t>
            </w:r>
          </w:p>
        </w:tc>
      </w:tr>
    </w:tbl>
    <w:p w:rsidR="0074213D" w:rsidRDefault="00746EDF">
      <w:pPr>
        <w:widowControl w:val="0"/>
        <w:spacing w:before="0"/>
        <w:contextualSpacing/>
        <w:rPr>
          <w:szCs w:val="26"/>
        </w:rPr>
      </w:pPr>
      <w:r>
        <w:rPr>
          <w:szCs w:val="26"/>
        </w:rPr>
        <w:t xml:space="preserve">           *- материалы каждого тома проекта компоновать в одном файле</w:t>
      </w:r>
    </w:p>
    <w:p w:rsidR="0074213D" w:rsidRDefault="0074213D">
      <w:pPr>
        <w:widowControl w:val="0"/>
        <w:spacing w:before="0"/>
        <w:contextualSpacing/>
        <w:rPr>
          <w:szCs w:val="26"/>
        </w:rPr>
      </w:pPr>
    </w:p>
    <w:p w:rsidR="0074213D" w:rsidRDefault="00746EDF">
      <w:pPr>
        <w:widowControl w:val="0"/>
        <w:spacing w:before="0" w:line="259" w:lineRule="auto"/>
        <w:ind w:firstLine="720"/>
        <w:contextualSpacing/>
        <w:rPr>
          <w:szCs w:val="26"/>
        </w:rPr>
      </w:pPr>
      <w:r>
        <w:rPr>
          <w:szCs w:val="26"/>
        </w:rPr>
        <w:t>5.3.</w:t>
      </w:r>
      <w:r>
        <w:rPr>
          <w:szCs w:val="26"/>
        </w:rPr>
        <w:tab/>
        <w:t>Разработанная проектная и рабочая документация является собственностью Заказчика, и передача её третьим лицам без его согласия запрещается.</w:t>
      </w:r>
    </w:p>
    <w:p w:rsidR="0074213D" w:rsidRDefault="00746EDF">
      <w:pPr>
        <w:widowControl w:val="0"/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firstLine="709"/>
        <w:rPr>
          <w:spacing w:val="4"/>
          <w:szCs w:val="26"/>
        </w:rPr>
      </w:pPr>
      <w:r>
        <w:rPr>
          <w:spacing w:val="4"/>
          <w:szCs w:val="26"/>
        </w:rPr>
        <w:t xml:space="preserve">5.4. Не допускается передача проектной и рабочей документации в </w:t>
      </w:r>
      <w:r>
        <w:rPr>
          <w:szCs w:val="26"/>
        </w:rPr>
        <w:t>формате</w:t>
      </w:r>
      <w:r>
        <w:rPr>
          <w:spacing w:val="4"/>
          <w:szCs w:val="26"/>
        </w:rPr>
        <w:t xml:space="preserve"> </w:t>
      </w:r>
      <w:r>
        <w:rPr>
          <w:spacing w:val="4"/>
          <w:szCs w:val="26"/>
          <w:lang w:val="en-US"/>
        </w:rPr>
        <w:t>Adobe</w:t>
      </w:r>
      <w:r>
        <w:rPr>
          <w:spacing w:val="4"/>
          <w:szCs w:val="26"/>
        </w:rPr>
        <w:t xml:space="preserve"> </w:t>
      </w:r>
      <w:r>
        <w:rPr>
          <w:spacing w:val="4"/>
          <w:szCs w:val="26"/>
          <w:lang w:val="en-US"/>
        </w:rPr>
        <w:t>Acrobat</w:t>
      </w:r>
      <w:r>
        <w:rPr>
          <w:spacing w:val="4"/>
          <w:szCs w:val="26"/>
        </w:rPr>
        <w:t xml:space="preserve"> с пофайловым разделением страниц.</w:t>
      </w:r>
    </w:p>
    <w:p w:rsidR="0074213D" w:rsidRDefault="00746EDF">
      <w:pPr>
        <w:widowControl w:val="0"/>
        <w:tabs>
          <w:tab w:val="left" w:pos="-4860"/>
          <w:tab w:val="left" w:pos="-4680"/>
          <w:tab w:val="left" w:pos="1080"/>
          <w:tab w:val="left" w:pos="1134"/>
          <w:tab w:val="left" w:pos="1701"/>
        </w:tabs>
        <w:ind w:firstLine="709"/>
        <w:rPr>
          <w:spacing w:val="-2"/>
          <w:szCs w:val="26"/>
        </w:rPr>
      </w:pPr>
      <w:r>
        <w:rPr>
          <w:spacing w:val="-2"/>
          <w:szCs w:val="26"/>
        </w:rPr>
        <w:t>5.5. В проектной</w:t>
      </w:r>
      <w:r>
        <w:t xml:space="preserve"> </w:t>
      </w:r>
      <w:r>
        <w:rPr>
          <w:spacing w:val="-2"/>
          <w:szCs w:val="26"/>
        </w:rPr>
        <w:t>и рабочей документации должны использоваться диспетчерские наименования объектов.</w:t>
      </w:r>
    </w:p>
    <w:p w:rsidR="0074213D" w:rsidRDefault="00746EDF">
      <w:pPr>
        <w:widowControl w:val="0"/>
        <w:tabs>
          <w:tab w:val="left" w:pos="-4860"/>
          <w:tab w:val="left" w:pos="-4680"/>
          <w:tab w:val="left" w:pos="709"/>
          <w:tab w:val="left" w:pos="1134"/>
          <w:tab w:val="left" w:pos="1701"/>
        </w:tabs>
        <w:ind w:firstLine="709"/>
        <w:rPr>
          <w:spacing w:val="-2"/>
          <w:szCs w:val="26"/>
        </w:rPr>
      </w:pPr>
      <w:r>
        <w:rPr>
          <w:spacing w:val="-2"/>
          <w:szCs w:val="26"/>
        </w:rPr>
        <w:t>5.6. При направлении откорректированных материалов ППО, ПД и РД разработчиком должны быть приложены ответы на замечания в табличном виде в редактируемом формате, перечень направляемых томов (разделов) с указанием страниц, в которые были внесены изменения. Кроме того, указанные изменения должны быть выделены цветом по тексту документов.</w:t>
      </w:r>
    </w:p>
    <w:p w:rsidR="0074213D" w:rsidRDefault="0074213D">
      <w:pPr>
        <w:widowControl w:val="0"/>
        <w:tabs>
          <w:tab w:val="left" w:pos="720"/>
          <w:tab w:val="left" w:pos="2340"/>
          <w:tab w:val="left" w:pos="3060"/>
          <w:tab w:val="left" w:pos="3240"/>
        </w:tabs>
        <w:spacing w:before="0"/>
        <w:ind w:firstLine="709"/>
        <w:contextualSpacing/>
        <w:rPr>
          <w:b/>
          <w:szCs w:val="26"/>
        </w:rPr>
      </w:pPr>
    </w:p>
    <w:p w:rsidR="0074213D" w:rsidRDefault="00746EDF">
      <w:pPr>
        <w:widowControl w:val="0"/>
        <w:tabs>
          <w:tab w:val="left" w:pos="720"/>
          <w:tab w:val="left" w:pos="2340"/>
          <w:tab w:val="left" w:pos="3060"/>
          <w:tab w:val="left" w:pos="3240"/>
        </w:tabs>
        <w:spacing w:before="0"/>
        <w:ind w:firstLine="709"/>
        <w:contextualSpacing/>
        <w:rPr>
          <w:b/>
          <w:szCs w:val="26"/>
        </w:rPr>
      </w:pPr>
      <w:r>
        <w:rPr>
          <w:b/>
          <w:szCs w:val="26"/>
        </w:rPr>
        <w:t>6.  Требования к выполнению и оформлению сметных расчетов.</w:t>
      </w:r>
    </w:p>
    <w:p w:rsidR="0074213D" w:rsidRDefault="00746EDF">
      <w:pPr>
        <w:pStyle w:val="af6"/>
        <w:spacing w:after="0"/>
        <w:ind w:right="5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6.1. Сметную стоимость модернизации приводить в текущем уровне цен, сложившемся ко времени составления смет.</w:t>
      </w:r>
    </w:p>
    <w:p w:rsidR="0074213D" w:rsidRDefault="00746EDF">
      <w:pPr>
        <w:pStyle w:val="af6"/>
        <w:spacing w:after="0"/>
        <w:ind w:right="5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составлении сметной документации использовать федеральную сметно-нормативную базу (ФСНБ-2022), внесенную в федеральный реестр сметных нормативов, </w:t>
      </w:r>
      <w:r>
        <w:rPr>
          <w:rFonts w:ascii="Times New Roman" w:hAnsi="Times New Roman" w:cs="Times New Roman"/>
          <w:sz w:val="26"/>
          <w:szCs w:val="26"/>
        </w:rPr>
        <w:lastRenderedPageBreak/>
        <w:t>актуальную информацию о сметных ценах строительных ресурсов и об индексах изменения сметной стоимости строительства по группам однородных строительных ресурсов по субъектам Российской Федерации, действующие методические документы в сфере сметного нормирования и ценообразования, разъяснения от федеральных органов исполнительной власти, уполномоченных осуществлять функции по выработке и реализации государственной политики и нормативно-правовому регулированию в сфере строительства.</w:t>
      </w:r>
    </w:p>
    <w:p w:rsidR="0074213D" w:rsidRDefault="00746EDF">
      <w:pPr>
        <w:pStyle w:val="af6"/>
        <w:spacing w:after="0"/>
        <w:ind w:right="5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 Сметные расчеты выполнить ресурсно-индексным методом.</w:t>
      </w:r>
    </w:p>
    <w:p w:rsidR="004D240E" w:rsidRDefault="004D240E">
      <w:pPr>
        <w:pStyle w:val="af6"/>
        <w:spacing w:after="0"/>
        <w:ind w:right="52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6.3. </w:t>
      </w:r>
      <w:r w:rsidRPr="004D240E">
        <w:rPr>
          <w:rFonts w:ascii="Times New Roman" w:hAnsi="Times New Roman" w:cs="Times New Roman"/>
          <w:sz w:val="26"/>
          <w:szCs w:val="26"/>
        </w:rPr>
        <w:t>Требования к оформлению и составлению документации по ценообразованию приведены в Приложение № 1 к ТТ.</w:t>
      </w:r>
    </w:p>
    <w:p w:rsidR="0074213D" w:rsidRDefault="00746EDF">
      <w:r>
        <w:t xml:space="preserve">    </w:t>
      </w:r>
    </w:p>
    <w:p w:rsidR="0074213D" w:rsidRDefault="00746EDF">
      <w:pPr>
        <w:ind w:firstLine="709"/>
        <w:rPr>
          <w:b/>
        </w:rPr>
      </w:pPr>
      <w:r>
        <w:rPr>
          <w:b/>
        </w:rPr>
        <w:t>7. Заказчик: ПАО «РусГидро».</w:t>
      </w:r>
    </w:p>
    <w:p w:rsidR="0074213D" w:rsidRDefault="00746EDF">
      <w:pPr>
        <w:widowControl w:val="0"/>
        <w:shd w:val="clear" w:color="auto" w:fill="FFFFFF"/>
        <w:spacing w:before="0" w:line="259" w:lineRule="auto"/>
        <w:contextualSpacing/>
        <w:rPr>
          <w:b/>
          <w:szCs w:val="26"/>
        </w:rPr>
      </w:pPr>
      <w:r>
        <w:rPr>
          <w:b/>
          <w:szCs w:val="26"/>
        </w:rPr>
        <w:t xml:space="preserve"> </w:t>
      </w:r>
      <w:r>
        <w:rPr>
          <w:b/>
          <w:szCs w:val="26"/>
        </w:rPr>
        <w:tab/>
      </w:r>
    </w:p>
    <w:p w:rsidR="0074213D" w:rsidRDefault="00746EDF">
      <w:pPr>
        <w:widowControl w:val="0"/>
        <w:shd w:val="clear" w:color="auto" w:fill="FFFFFF"/>
        <w:spacing w:before="0" w:line="259" w:lineRule="auto"/>
        <w:ind w:firstLine="709"/>
        <w:contextualSpacing/>
        <w:rPr>
          <w:b/>
          <w:szCs w:val="26"/>
        </w:rPr>
      </w:pPr>
      <w:r>
        <w:rPr>
          <w:b/>
          <w:szCs w:val="26"/>
        </w:rPr>
        <w:t>8.  Исходные данные для проектирования.</w:t>
      </w:r>
    </w:p>
    <w:p w:rsidR="0074213D" w:rsidRDefault="00746EDF">
      <w:pPr>
        <w:widowControl w:val="0"/>
        <w:shd w:val="clear" w:color="auto" w:fill="FFFFFF"/>
        <w:tabs>
          <w:tab w:val="left" w:pos="989"/>
        </w:tabs>
        <w:spacing w:before="0" w:line="259" w:lineRule="auto"/>
        <w:ind w:firstLine="720"/>
        <w:contextualSpacing/>
        <w:rPr>
          <w:szCs w:val="26"/>
        </w:rPr>
      </w:pPr>
      <w:r>
        <w:rPr>
          <w:szCs w:val="26"/>
        </w:rPr>
        <w:t>Перечень исходных данных, сроки их подготовки и передачи Заказчиком проектной организации определяются договором на разработку проекта и календарным графиком.</w:t>
      </w:r>
    </w:p>
    <w:p w:rsidR="0074213D" w:rsidRDefault="0074213D">
      <w:pPr>
        <w:widowControl w:val="0"/>
        <w:shd w:val="clear" w:color="auto" w:fill="FFFFFF"/>
        <w:tabs>
          <w:tab w:val="left" w:pos="989"/>
        </w:tabs>
        <w:spacing w:before="0" w:line="259" w:lineRule="auto"/>
        <w:ind w:firstLine="720"/>
        <w:contextualSpacing/>
        <w:rPr>
          <w:b/>
          <w:szCs w:val="26"/>
        </w:rPr>
      </w:pPr>
    </w:p>
    <w:p w:rsidR="0074213D" w:rsidRDefault="00746EDF">
      <w:pPr>
        <w:widowControl w:val="0"/>
        <w:tabs>
          <w:tab w:val="left" w:pos="720"/>
        </w:tabs>
        <w:spacing w:before="0"/>
        <w:ind w:firstLine="720"/>
        <w:contextualSpacing/>
        <w:rPr>
          <w:b/>
          <w:szCs w:val="26"/>
        </w:rPr>
      </w:pPr>
      <w:r>
        <w:rPr>
          <w:b/>
          <w:szCs w:val="26"/>
        </w:rPr>
        <w:t>9. Перечень инвестиционных проектов, работ и программ, с которыми требуется координация решений проектной документации, разрабатываемой по данному техническому заданию.</w:t>
      </w:r>
    </w:p>
    <w:p w:rsidR="0074213D" w:rsidRDefault="00746EDF">
      <w:pPr>
        <w:widowControl w:val="0"/>
        <w:shd w:val="clear" w:color="auto" w:fill="FFFFFF"/>
        <w:tabs>
          <w:tab w:val="left" w:pos="989"/>
        </w:tabs>
        <w:spacing w:before="0" w:line="259" w:lineRule="auto"/>
        <w:ind w:firstLine="720"/>
        <w:contextualSpacing/>
        <w:rPr>
          <w:szCs w:val="26"/>
        </w:rPr>
      </w:pPr>
      <w:r>
        <w:rPr>
          <w:szCs w:val="26"/>
        </w:rPr>
        <w:t xml:space="preserve">9.1. «Проектно-изыскательские работы по реконструкции каналов ПА для организации двух независимых каналов связи для передачи сигналов «ФОЛ 330 кВ Баксан – Нальчик» и «ФРЛ 330 кВ Баксан – Нальчик» со стороны ПС 330 кВ Нальчик и </w:t>
      </w:r>
      <w:r>
        <w:rPr>
          <w:szCs w:val="26"/>
        </w:rPr>
        <w:br/>
        <w:t>ПС 330 кВ Баксан, сигналов «ФОЛ 330 кВ Зарамагская ГЭС-1 – Владикавказ-2» и «ФРЛ 330 кВ Зарамагская ГЭС-1 – Владикавказ-2» со стороны ПС 330 кВ Владикавказ-2, сигнала «ФРЛ 330 кВ Зарамагская ГЭС-1 – Нальчик» со стороны ПС 330 кВ Нальчик, сигнала «ФРЛ 330 кВ Алания – Артем» со стороны ПС 500 кВ Алания и ПС 330 кВ Артем в АРО СГО Зарамагскую ГЭС-1 для ТП ПАО «РусГидро» Зарамагская ГЭС-1» Филиала ПАО «Россети» - МЭС Юга.</w:t>
      </w:r>
    </w:p>
    <w:p w:rsidR="0074213D" w:rsidRDefault="0074213D">
      <w:pPr>
        <w:widowControl w:val="0"/>
        <w:shd w:val="clear" w:color="auto" w:fill="FFFFFF"/>
        <w:spacing w:line="259" w:lineRule="auto"/>
        <w:contextualSpacing/>
        <w:rPr>
          <w:b/>
          <w:i/>
          <w:szCs w:val="26"/>
        </w:rPr>
      </w:pPr>
    </w:p>
    <w:p w:rsidR="0074213D" w:rsidRDefault="00746EDF">
      <w:pPr>
        <w:widowControl w:val="0"/>
        <w:shd w:val="clear" w:color="auto" w:fill="FFFFFF"/>
        <w:spacing w:line="259" w:lineRule="auto"/>
        <w:contextualSpacing/>
        <w:rPr>
          <w:b/>
          <w:i/>
          <w:szCs w:val="26"/>
        </w:rPr>
      </w:pPr>
      <w:r>
        <w:rPr>
          <w:b/>
          <w:i/>
          <w:szCs w:val="26"/>
        </w:rPr>
        <w:tab/>
      </w:r>
      <w:r>
        <w:rPr>
          <w:b/>
          <w:i/>
          <w:szCs w:val="26"/>
        </w:rPr>
        <w:tab/>
      </w:r>
      <w:r>
        <w:rPr>
          <w:b/>
          <w:i/>
          <w:szCs w:val="26"/>
        </w:rPr>
        <w:tab/>
      </w:r>
      <w:r>
        <w:rPr>
          <w:b/>
          <w:i/>
          <w:szCs w:val="26"/>
        </w:rPr>
        <w:tab/>
      </w:r>
    </w:p>
    <w:sectPr w:rsidR="0074213D">
      <w:headerReference w:type="default" r:id="rId7"/>
      <w:pgSz w:w="11906" w:h="16838"/>
      <w:pgMar w:top="1134" w:right="567" w:bottom="993" w:left="1134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154C" w:rsidRDefault="000A154C">
      <w:pPr>
        <w:spacing w:before="0"/>
      </w:pPr>
      <w:r>
        <w:separator/>
      </w:r>
    </w:p>
  </w:endnote>
  <w:endnote w:type="continuationSeparator" w:id="0">
    <w:p w:rsidR="000A154C" w:rsidRDefault="000A15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154C" w:rsidRDefault="000A154C">
      <w:pPr>
        <w:spacing w:before="0"/>
      </w:pPr>
      <w:r>
        <w:separator/>
      </w:r>
    </w:p>
  </w:footnote>
  <w:footnote w:type="continuationSeparator" w:id="0">
    <w:p w:rsidR="000A154C" w:rsidRDefault="000A15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213D" w:rsidRDefault="0074213D">
    <w:pPr>
      <w:pStyle w:val="af3"/>
      <w:jc w:val="center"/>
    </w:pPr>
  </w:p>
  <w:p w:rsidR="0074213D" w:rsidRDefault="00746EDF">
    <w:pPr>
      <w:pStyle w:val="af3"/>
      <w:jc w:val="center"/>
    </w:pPr>
    <w:r>
      <w:fldChar w:fldCharType="begin"/>
    </w:r>
    <w:r>
      <w:instrText xml:space="preserve"> PAGE </w:instrText>
    </w:r>
    <w:r>
      <w:fldChar w:fldCharType="separate"/>
    </w:r>
    <w:r w:rsidR="00701C48">
      <w:rPr>
        <w:noProof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E07B2"/>
    <w:multiLevelType w:val="multilevel"/>
    <w:tmpl w:val="C8DE7D46"/>
    <w:lvl w:ilvl="0">
      <w:start w:val="1"/>
      <w:numFmt w:val="decimal"/>
      <w:lvlText w:val="%1)"/>
      <w:lvlJc w:val="left"/>
      <w:pPr>
        <w:tabs>
          <w:tab w:val="num" w:pos="0"/>
        </w:tabs>
        <w:ind w:left="1762" w:hanging="281"/>
      </w:pPr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646" w:hanging="281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533" w:hanging="281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419" w:hanging="281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5306" w:hanging="281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6193" w:hanging="281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079" w:hanging="281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66" w:hanging="281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853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B0E37D5"/>
    <w:multiLevelType w:val="multilevel"/>
    <w:tmpl w:val="369205F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646" w:hanging="504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B55728D"/>
    <w:multiLevelType w:val="multilevel"/>
    <w:tmpl w:val="C3E4748C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646" w:hanging="504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2E872E0B"/>
    <w:multiLevelType w:val="multilevel"/>
    <w:tmpl w:val="0BDEAEE4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646" w:hanging="504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380F54D5"/>
    <w:multiLevelType w:val="multilevel"/>
    <w:tmpl w:val="7F7C2A1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6"/>
        <w:szCs w:val="26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88C0CD3"/>
    <w:multiLevelType w:val="multilevel"/>
    <w:tmpl w:val="7244F688"/>
    <w:lvl w:ilvl="0">
      <w:start w:val="1"/>
      <w:numFmt w:val="decimal"/>
      <w:lvlText w:val="%1)"/>
      <w:lvlJc w:val="left"/>
      <w:pPr>
        <w:tabs>
          <w:tab w:val="num" w:pos="0"/>
        </w:tabs>
        <w:ind w:left="1762" w:hanging="281"/>
      </w:pPr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646" w:hanging="281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533" w:hanging="281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419" w:hanging="281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5306" w:hanging="281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6193" w:hanging="281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079" w:hanging="281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66" w:hanging="281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853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389270DD"/>
    <w:multiLevelType w:val="multilevel"/>
    <w:tmpl w:val="5E160B74"/>
    <w:lvl w:ilvl="0">
      <w:start w:val="1"/>
      <w:numFmt w:val="decimal"/>
      <w:lvlText w:val="%1)"/>
      <w:lvlJc w:val="left"/>
      <w:pPr>
        <w:tabs>
          <w:tab w:val="num" w:pos="0"/>
        </w:tabs>
        <w:ind w:left="1762" w:hanging="281"/>
      </w:pPr>
      <w:rPr>
        <w:rFonts w:ascii="Times New Roman" w:eastAsia="Times New Roman" w:hAnsi="Times New Roman" w:cs="Times New Roman"/>
        <w:sz w:val="26"/>
        <w:szCs w:val="26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646" w:hanging="281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3533" w:hanging="281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419" w:hanging="281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5306" w:hanging="281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6193" w:hanging="281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079" w:hanging="281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66" w:hanging="281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853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501A3EA1"/>
    <w:multiLevelType w:val="multilevel"/>
    <w:tmpl w:val="F1F87C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595F5A88"/>
    <w:multiLevelType w:val="multilevel"/>
    <w:tmpl w:val="97320552"/>
    <w:lvl w:ilvl="0">
      <w:start w:val="1"/>
      <w:numFmt w:val="bullet"/>
      <w:lvlText w:val=""/>
      <w:lvlJc w:val="left"/>
      <w:pPr>
        <w:tabs>
          <w:tab w:val="num" w:pos="0"/>
        </w:tabs>
        <w:ind w:left="762" w:hanging="248"/>
      </w:pPr>
      <w:rPr>
        <w:rFonts w:ascii="Symbol" w:hAnsi="Symbol" w:cs="Symbol" w:hint="default"/>
        <w:sz w:val="26"/>
        <w:szCs w:val="26"/>
        <w:lang w:val="ru-RU" w:eastAsia="en-US" w:bidi="ar-SA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746" w:hanging="248"/>
      </w:pPr>
      <w:rPr>
        <w:rFonts w:ascii="Symbol" w:hAnsi="Symbol" w:cs="Symbol" w:hint="default"/>
        <w:lang w:val="ru-RU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733" w:hanging="248"/>
      </w:pPr>
      <w:rPr>
        <w:rFonts w:ascii="Symbol" w:hAnsi="Symbol" w:cs="Symbol" w:hint="default"/>
        <w:lang w:val="ru-RU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19" w:hanging="248"/>
      </w:pPr>
      <w:rPr>
        <w:rFonts w:ascii="Symbol" w:hAnsi="Symbol" w:cs="Symbol" w:hint="default"/>
        <w:lang w:val="ru-RU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06" w:hanging="248"/>
      </w:pPr>
      <w:rPr>
        <w:rFonts w:ascii="Symbol" w:hAnsi="Symbol" w:cs="Symbol" w:hint="default"/>
        <w:lang w:val="ru-RU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693" w:hanging="248"/>
      </w:pPr>
      <w:rPr>
        <w:rFonts w:ascii="Symbol" w:hAnsi="Symbol" w:cs="Symbol" w:hint="default"/>
        <w:lang w:val="ru-RU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679" w:hanging="248"/>
      </w:pPr>
      <w:rPr>
        <w:rFonts w:ascii="Symbol" w:hAnsi="Symbol" w:cs="Symbol" w:hint="default"/>
        <w:lang w:val="ru-RU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666" w:hanging="248"/>
      </w:pPr>
      <w:rPr>
        <w:rFonts w:ascii="Symbol" w:hAnsi="Symbol" w:cs="Symbol" w:hint="default"/>
        <w:lang w:val="ru-RU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653" w:hanging="248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61E84759"/>
    <w:multiLevelType w:val="multilevel"/>
    <w:tmpl w:val="D15C6FA8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803"/>
        </w:tabs>
        <w:ind w:left="7803" w:hanging="432"/>
      </w:pPr>
      <w:rPr>
        <w:rFonts w:cs="Times New Roman"/>
        <w:b/>
        <w:i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646" w:hanging="504"/>
      </w:pPr>
      <w:rPr>
        <w:rFonts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 w15:restartNumberingAfterBreak="0">
    <w:nsid w:val="70A36808"/>
    <w:multiLevelType w:val="multilevel"/>
    <w:tmpl w:val="81EE1094"/>
    <w:lvl w:ilvl="0">
      <w:start w:val="1"/>
      <w:numFmt w:val="bullet"/>
      <w:lvlText w:val="‒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78B6568"/>
    <w:multiLevelType w:val="multilevel"/>
    <w:tmpl w:val="16CA9210"/>
    <w:lvl w:ilvl="0">
      <w:start w:val="1"/>
      <w:numFmt w:val="decimal"/>
      <w:lvlText w:val="%1."/>
      <w:lvlJc w:val="left"/>
      <w:pPr>
        <w:tabs>
          <w:tab w:val="num" w:pos="0"/>
        </w:tabs>
        <w:ind w:left="467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2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2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18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8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54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47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0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07" w:hanging="180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3"/>
  </w:num>
  <w:num w:numId="5">
    <w:abstractNumId w:val="11"/>
  </w:num>
  <w:num w:numId="6">
    <w:abstractNumId w:val="2"/>
  </w:num>
  <w:num w:numId="7">
    <w:abstractNumId w:val="9"/>
  </w:num>
  <w:num w:numId="8">
    <w:abstractNumId w:val="1"/>
  </w:num>
  <w:num w:numId="9">
    <w:abstractNumId w:val="0"/>
  </w:num>
  <w:num w:numId="10">
    <w:abstractNumId w:val="5"/>
  </w:num>
  <w:num w:numId="11">
    <w:abstractNumId w:val="6"/>
  </w:num>
  <w:num w:numId="12">
    <w:abstractNumId w:val="7"/>
  </w:num>
  <w:num w:numId="13">
    <w:abstractNumId w:val="3"/>
  </w:num>
  <w:num w:numId="14">
    <w:abstractNumId w:val="3"/>
  </w:num>
  <w:num w:numId="15">
    <w:abstractNumId w:val="3"/>
  </w:num>
  <w:num w:numId="16">
    <w:abstractNumId w:val="0"/>
    <w:lvlOverride w:ilvl="0">
      <w:startOverride w:val="1"/>
    </w:lvlOverride>
  </w:num>
  <w:num w:numId="17">
    <w:abstractNumId w:val="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13D"/>
    <w:rsid w:val="000A154C"/>
    <w:rsid w:val="002427BD"/>
    <w:rsid w:val="00403C47"/>
    <w:rsid w:val="004D240E"/>
    <w:rsid w:val="00701C48"/>
    <w:rsid w:val="0074213D"/>
    <w:rsid w:val="00746EDF"/>
    <w:rsid w:val="009B1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53C7F"/>
  <w15:docId w15:val="{A3203857-E70B-4C6F-8A72-2AF1B34BD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6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Cs w:val="26"/>
    </w:rPr>
  </w:style>
  <w:style w:type="paragraph" w:styleId="5">
    <w:name w:val="heading 5"/>
    <w:basedOn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3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4">
    <w:name w:val="endnote reference"/>
    <w:rPr>
      <w:vertAlign w:val="superscript"/>
    </w:rPr>
  </w:style>
  <w:style w:type="character" w:customStyle="1" w:styleId="a5">
    <w:name w:val="Текст сноски Знак"/>
    <w:basedOn w:val="a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Символ сноски"/>
    <w:uiPriority w:val="99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a9">
    <w:name w:val="Текст выноски Знак"/>
    <w:basedOn w:val="a0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b">
    <w:name w:val="Тема примечания Знак"/>
    <w:basedOn w:val="a6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c">
    <w:name w:val="Текст Знак"/>
    <w:basedOn w:val="a0"/>
    <w:uiPriority w:val="99"/>
    <w:qFormat/>
    <w:rPr>
      <w:rFonts w:ascii="Calibri" w:hAnsi="Calibri"/>
      <w:szCs w:val="21"/>
    </w:rPr>
  </w:style>
  <w:style w:type="character" w:customStyle="1" w:styleId="hl">
    <w:name w:val="hl"/>
    <w:basedOn w:val="a0"/>
    <w:qFormat/>
  </w:style>
  <w:style w:type="character" w:styleId="ad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e">
    <w:name w:val="Абзац списка Знак"/>
    <w:qFormat/>
    <w:rPr>
      <w:rFonts w:ascii="Calibri" w:eastAsia="Calibri" w:hAnsi="Calibri" w:cs="Times New Roman"/>
      <w:sz w:val="26"/>
    </w:rPr>
  </w:style>
  <w:style w:type="character" w:customStyle="1" w:styleId="Bodytext2">
    <w:name w:val="Body text (2)_"/>
    <w:basedOn w:val="a0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Heading2">
    <w:name w:val="Heading #2_"/>
    <w:basedOn w:val="a0"/>
    <w:qFormat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f">
    <w:name w:val="Основной текст Знак"/>
    <w:basedOn w:val="a0"/>
    <w:uiPriority w:val="99"/>
    <w:qFormat/>
    <w:rPr>
      <w:sz w:val="24"/>
      <w:szCs w:val="20"/>
    </w:rPr>
  </w:style>
  <w:style w:type="character" w:customStyle="1" w:styleId="10">
    <w:name w:val="Основной текст Знак1"/>
    <w:basedOn w:val="a0"/>
    <w:uiPriority w:val="99"/>
    <w:semiHidden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Основной текст 2 Знак"/>
    <w:basedOn w:val="a0"/>
    <w:uiPriority w:val="99"/>
    <w:semiHidden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">
    <w:name w:val="ConsPlusNormal Знак"/>
    <w:qFormat/>
    <w:rPr>
      <w:rFonts w:ascii="Arial" w:hAnsi="Arial" w:cs="Arial"/>
    </w:rPr>
  </w:style>
  <w:style w:type="character" w:customStyle="1" w:styleId="linenumber1">
    <w:name w:val="line number1"/>
    <w:qFormat/>
  </w:style>
  <w:style w:type="character" w:customStyle="1" w:styleId="linenumber2">
    <w:name w:val="line number2"/>
    <w:qFormat/>
  </w:style>
  <w:style w:type="character" w:customStyle="1" w:styleId="af0">
    <w:name w:val="Основной текст с отступом Знак"/>
    <w:basedOn w:val="a0"/>
    <w:link w:val="af1"/>
    <w:uiPriority w:val="99"/>
    <w:qFormat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qFormat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af2">
    <w:name w:val="Верхний колонтитул Знак"/>
    <w:basedOn w:val="a0"/>
    <w:link w:val="af3"/>
    <w:uiPriority w:val="99"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f4">
    <w:name w:val="line number"/>
  </w:style>
  <w:style w:type="paragraph" w:styleId="af5">
    <w:name w:val="Title"/>
    <w:basedOn w:val="a"/>
    <w:next w:val="af6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6">
    <w:name w:val="Body Text"/>
    <w:basedOn w:val="a"/>
    <w:uiPriority w:val="99"/>
    <w:unhideWhenUsed/>
    <w:pPr>
      <w:widowControl w:val="0"/>
      <w:spacing w:before="0" w:after="120"/>
      <w:jc w:val="left"/>
    </w:pPr>
    <w:rPr>
      <w:rFonts w:asciiTheme="minorHAnsi" w:eastAsiaTheme="minorHAnsi" w:hAnsiTheme="minorHAnsi" w:cstheme="minorBidi"/>
      <w:sz w:val="24"/>
      <w:lang w:eastAsia="en-US"/>
    </w:rPr>
  </w:style>
  <w:style w:type="paragraph" w:styleId="af7">
    <w:name w:val="List"/>
    <w:basedOn w:val="af6"/>
  </w:style>
  <w:style w:type="paragraph" w:styleId="af8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af9">
    <w:name w:val="index heading"/>
    <w:basedOn w:val="af5"/>
  </w:style>
  <w:style w:type="paragraph" w:customStyle="1" w:styleId="indexheading1">
    <w:name w:val="index heading1"/>
    <w:basedOn w:val="af5"/>
    <w:qFormat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5"/>
    <w:qFormat/>
  </w:style>
  <w:style w:type="paragraph" w:customStyle="1" w:styleId="caption11">
    <w:name w:val="caption11"/>
    <w:basedOn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customStyle="1" w:styleId="indexheading111">
    <w:name w:val="index heading111"/>
    <w:basedOn w:val="af5"/>
    <w:qFormat/>
  </w:style>
  <w:style w:type="paragraph" w:styleId="afa">
    <w:name w:val="Subtitle"/>
    <w:basedOn w:val="a"/>
    <w:uiPriority w:val="11"/>
    <w:qFormat/>
    <w:pPr>
      <w:spacing w:before="200" w:after="200"/>
    </w:pPr>
    <w:rPr>
      <w:sz w:val="24"/>
      <w:szCs w:val="24"/>
    </w:rPr>
  </w:style>
  <w:style w:type="paragraph" w:styleId="23">
    <w:name w:val="Quote"/>
    <w:basedOn w:val="a"/>
    <w:uiPriority w:val="29"/>
    <w:qFormat/>
    <w:pPr>
      <w:ind w:left="720" w:right="720"/>
    </w:pPr>
    <w:rPr>
      <w:i/>
    </w:rPr>
  </w:style>
  <w:style w:type="paragraph" w:styleId="afb">
    <w:name w:val="Intense Quote"/>
    <w:basedOn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/>
    </w:pPr>
    <w:rPr>
      <w:i/>
    </w:rPr>
  </w:style>
  <w:style w:type="paragraph" w:customStyle="1" w:styleId="afc">
    <w:name w:val="Колонтитул"/>
    <w:basedOn w:val="a"/>
    <w:qFormat/>
  </w:style>
  <w:style w:type="paragraph" w:styleId="af3">
    <w:name w:val="header"/>
    <w:basedOn w:val="a"/>
    <w:link w:val="af2"/>
    <w:uiPriority w:val="99"/>
    <w:unhideWhenUsed/>
    <w:pPr>
      <w:tabs>
        <w:tab w:val="center" w:pos="7143"/>
        <w:tab w:val="right" w:pos="14287"/>
      </w:tabs>
      <w:spacing w:before="0"/>
    </w:pPr>
  </w:style>
  <w:style w:type="paragraph" w:styleId="afd">
    <w:name w:val="footer"/>
    <w:basedOn w:val="a"/>
    <w:uiPriority w:val="99"/>
    <w:unhideWhenUsed/>
    <w:pPr>
      <w:tabs>
        <w:tab w:val="center" w:pos="7143"/>
        <w:tab w:val="right" w:pos="14287"/>
      </w:tabs>
      <w:spacing w:before="0"/>
    </w:pPr>
  </w:style>
  <w:style w:type="paragraph" w:styleId="afe">
    <w:name w:val="endnote text"/>
    <w:basedOn w:val="a"/>
    <w:uiPriority w:val="99"/>
    <w:semiHidden/>
    <w:unhideWhenUsed/>
    <w:pPr>
      <w:spacing w:before="0"/>
    </w:pPr>
    <w:rPr>
      <w:sz w:val="20"/>
    </w:rPr>
  </w:style>
  <w:style w:type="paragraph" w:styleId="11">
    <w:name w:val="toc 1"/>
    <w:basedOn w:val="a"/>
    <w:uiPriority w:val="39"/>
    <w:unhideWhenUsed/>
    <w:pPr>
      <w:spacing w:before="0" w:after="57"/>
    </w:pPr>
  </w:style>
  <w:style w:type="paragraph" w:styleId="24">
    <w:name w:val="toc 2"/>
    <w:basedOn w:val="a"/>
    <w:uiPriority w:val="39"/>
    <w:unhideWhenUsed/>
    <w:pPr>
      <w:spacing w:before="0" w:after="57"/>
      <w:ind w:left="283"/>
    </w:pPr>
  </w:style>
  <w:style w:type="paragraph" w:styleId="30">
    <w:name w:val="toc 3"/>
    <w:basedOn w:val="a"/>
    <w:uiPriority w:val="39"/>
    <w:unhideWhenUsed/>
    <w:pPr>
      <w:spacing w:before="0" w:after="57"/>
      <w:ind w:left="567"/>
    </w:pPr>
  </w:style>
  <w:style w:type="paragraph" w:styleId="40">
    <w:name w:val="toc 4"/>
    <w:basedOn w:val="a"/>
    <w:uiPriority w:val="39"/>
    <w:unhideWhenUsed/>
    <w:pPr>
      <w:spacing w:before="0" w:after="57"/>
      <w:ind w:left="850"/>
    </w:pPr>
  </w:style>
  <w:style w:type="paragraph" w:styleId="50">
    <w:name w:val="toc 5"/>
    <w:basedOn w:val="a"/>
    <w:uiPriority w:val="39"/>
    <w:unhideWhenUsed/>
    <w:pPr>
      <w:spacing w:before="0" w:after="57"/>
      <w:ind w:left="1134"/>
    </w:pPr>
  </w:style>
  <w:style w:type="paragraph" w:styleId="60">
    <w:name w:val="toc 6"/>
    <w:basedOn w:val="a"/>
    <w:uiPriority w:val="39"/>
    <w:unhideWhenUsed/>
    <w:pPr>
      <w:spacing w:before="0" w:after="57"/>
      <w:ind w:left="1417"/>
    </w:pPr>
  </w:style>
  <w:style w:type="paragraph" w:styleId="70">
    <w:name w:val="toc 7"/>
    <w:basedOn w:val="a"/>
    <w:uiPriority w:val="39"/>
    <w:unhideWhenUsed/>
    <w:pPr>
      <w:spacing w:before="0" w:after="57"/>
      <w:ind w:left="1701"/>
    </w:pPr>
  </w:style>
  <w:style w:type="paragraph" w:styleId="80">
    <w:name w:val="toc 8"/>
    <w:basedOn w:val="a"/>
    <w:uiPriority w:val="39"/>
    <w:unhideWhenUsed/>
    <w:pPr>
      <w:spacing w:before="0" w:after="57"/>
      <w:ind w:left="1984"/>
    </w:pPr>
  </w:style>
  <w:style w:type="paragraph" w:styleId="90">
    <w:name w:val="toc 9"/>
    <w:basedOn w:val="a"/>
    <w:uiPriority w:val="39"/>
    <w:unhideWhenUsed/>
    <w:pPr>
      <w:spacing w:before="0" w:after="57"/>
      <w:ind w:left="2268"/>
    </w:pPr>
  </w:style>
  <w:style w:type="paragraph" w:styleId="aff">
    <w:name w:val="TOC Heading"/>
    <w:uiPriority w:val="39"/>
    <w:unhideWhenUsed/>
    <w:qFormat/>
    <w:pPr>
      <w:spacing w:after="160" w:line="259" w:lineRule="auto"/>
    </w:pPr>
  </w:style>
  <w:style w:type="paragraph" w:styleId="aff0">
    <w:name w:val="table of figures"/>
    <w:basedOn w:val="a"/>
    <w:uiPriority w:val="99"/>
    <w:unhideWhenUsed/>
    <w:qFormat/>
    <w:pPr>
      <w:spacing w:before="0"/>
    </w:pPr>
  </w:style>
  <w:style w:type="paragraph" w:styleId="aff1">
    <w:name w:val="footnote text"/>
    <w:basedOn w:val="a"/>
    <w:uiPriority w:val="99"/>
    <w:rPr>
      <w:sz w:val="20"/>
    </w:rPr>
  </w:style>
  <w:style w:type="paragraph" w:styleId="aff2">
    <w:name w:val="annotation text"/>
    <w:basedOn w:val="a"/>
    <w:semiHidden/>
    <w:qFormat/>
    <w:rPr>
      <w:sz w:val="20"/>
    </w:rPr>
  </w:style>
  <w:style w:type="paragraph" w:styleId="aff3">
    <w:name w:val="List Paragraph"/>
    <w:basedOn w:val="a"/>
    <w:qFormat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ff4">
    <w:name w:val="Balloon Text"/>
    <w:basedOn w:val="a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aff5">
    <w:name w:val="annotation subject"/>
    <w:basedOn w:val="aff2"/>
    <w:uiPriority w:val="99"/>
    <w:semiHidden/>
    <w:unhideWhenUsed/>
    <w:qFormat/>
    <w:rPr>
      <w:b/>
      <w:bCs/>
    </w:rPr>
  </w:style>
  <w:style w:type="paragraph" w:styleId="aff6">
    <w:name w:val="Revision"/>
    <w:uiPriority w:val="99"/>
    <w:semiHidden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7">
    <w:name w:val="Plain Text"/>
    <w:basedOn w:val="a"/>
    <w:uiPriority w:val="99"/>
    <w:unhideWhenUsed/>
    <w:qFormat/>
    <w:pPr>
      <w:spacing w:befor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Bodytext20">
    <w:name w:val="Body text (2)"/>
    <w:basedOn w:val="a"/>
    <w:qFormat/>
    <w:pPr>
      <w:widowControl w:val="0"/>
      <w:shd w:val="clear" w:color="auto" w:fill="FFFFFF"/>
      <w:spacing w:before="0" w:line="322" w:lineRule="exact"/>
      <w:jc w:val="left"/>
    </w:pPr>
    <w:rPr>
      <w:sz w:val="28"/>
      <w:szCs w:val="28"/>
      <w:lang w:eastAsia="en-US"/>
    </w:rPr>
  </w:style>
  <w:style w:type="paragraph" w:customStyle="1" w:styleId="Heading20">
    <w:name w:val="Heading #2"/>
    <w:basedOn w:val="a"/>
    <w:qFormat/>
    <w:pPr>
      <w:widowControl w:val="0"/>
      <w:shd w:val="clear" w:color="auto" w:fill="FFFFFF"/>
      <w:spacing w:before="600" w:after="60" w:line="0" w:lineRule="atLeast"/>
      <w:ind w:firstLine="900"/>
      <w:outlineLvl w:val="1"/>
    </w:pPr>
    <w:rPr>
      <w:b/>
      <w:bCs/>
      <w:sz w:val="28"/>
      <w:szCs w:val="28"/>
      <w:lang w:eastAsia="en-US"/>
    </w:rPr>
  </w:style>
  <w:style w:type="paragraph" w:styleId="aff8">
    <w:name w:val="No Spacing"/>
    <w:uiPriority w:val="1"/>
    <w:qFormat/>
    <w:pPr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before="0"/>
      <w:ind w:left="108"/>
      <w:jc w:val="left"/>
    </w:pPr>
    <w:rPr>
      <w:sz w:val="22"/>
      <w:szCs w:val="22"/>
      <w:lang w:eastAsia="en-US"/>
    </w:rPr>
  </w:style>
  <w:style w:type="paragraph" w:styleId="25">
    <w:name w:val="Body Text 2"/>
    <w:basedOn w:val="a"/>
    <w:uiPriority w:val="99"/>
    <w:semiHidden/>
    <w:unhideWhenUsed/>
    <w:qFormat/>
    <w:pPr>
      <w:spacing w:after="120" w:line="480" w:lineRule="auto"/>
    </w:pPr>
  </w:style>
  <w:style w:type="paragraph" w:customStyle="1" w:styleId="ConsPlusNormal0">
    <w:name w:val="ConsPlusNormal"/>
    <w:qFormat/>
    <w:pPr>
      <w:widowControl w:val="0"/>
      <w:ind w:firstLine="720"/>
    </w:pPr>
    <w:rPr>
      <w:rFonts w:ascii="Arial" w:hAnsi="Arial"/>
    </w:rPr>
  </w:style>
  <w:style w:type="paragraph" w:styleId="af1">
    <w:name w:val="Body Text Indent"/>
    <w:basedOn w:val="a"/>
    <w:link w:val="af0"/>
    <w:uiPriority w:val="99"/>
    <w:unhideWhenUsed/>
    <w:pPr>
      <w:widowControl w:val="0"/>
      <w:tabs>
        <w:tab w:val="left" w:pos="-4680"/>
        <w:tab w:val="left" w:pos="1080"/>
      </w:tabs>
      <w:spacing w:before="0"/>
      <w:ind w:firstLine="709"/>
    </w:pPr>
    <w:rPr>
      <w:szCs w:val="26"/>
    </w:rPr>
  </w:style>
  <w:style w:type="paragraph" w:styleId="22">
    <w:name w:val="Body Text Indent 2"/>
    <w:basedOn w:val="a"/>
    <w:link w:val="21"/>
    <w:uiPriority w:val="99"/>
    <w:unhideWhenUsed/>
    <w:qFormat/>
    <w:pPr>
      <w:widowControl w:val="0"/>
      <w:tabs>
        <w:tab w:val="left" w:pos="993"/>
        <w:tab w:val="left" w:pos="1134"/>
      </w:tabs>
      <w:spacing w:before="120"/>
      <w:ind w:left="709"/>
    </w:pPr>
    <w:rPr>
      <w:bCs/>
      <w:szCs w:val="26"/>
    </w:rPr>
  </w:style>
  <w:style w:type="table" w:styleId="aff9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26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4472C4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4472C4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2433</Words>
  <Characters>13872</Characters>
  <Application>Microsoft Office Word</Application>
  <DocSecurity>0</DocSecurity>
  <Lines>115</Lines>
  <Paragraphs>32</Paragraphs>
  <ScaleCrop>false</ScaleCrop>
  <Company>АО "Ленгидропроект"</Company>
  <LinksUpToDate>false</LinksUpToDate>
  <CharactersWithSpaces>16273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Репин Артем Александрович</dc:creator>
  <dc:description/>
  <cp:lastModifiedBy>Демурова Вилена Витальевна</cp:lastModifiedBy>
  <cp:revision>10</cp:revision>
  <dcterms:created xsi:type="dcterms:W3CDTF">2025-11-18T08:54:00Z</dcterms:created>
  <dcterms:modified xsi:type="dcterms:W3CDTF">2026-05-27T06:19:00Z</dcterms:modified>
  <dc:language>ru-RU</dc:language>
</cp:coreProperties>
</file>